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100" w:leader="none"/>
        </w:tabs>
        <w:ind w:end="-2790"/>
        <w:jc w:val="both"/>
        <w:rPr>
          <w:rFonts w:ascii="Helv;Arial" w:hAnsi="Helv;Arial" w:cs="Helv;Arial"/>
          <w:color w:val="000000"/>
        </w:rPr>
      </w:pPr>
      <w:r>
        <w:rPr>
          <w:rFonts w:cs="Helv;Arial" w:ascii="Helv;Arial" w:hAnsi="Helv;Arial"/>
          <w:color w:val="000000"/>
        </w:rPr>
      </w:r>
    </w:p>
    <w:p>
      <w:pPr>
        <w:pStyle w:val="Normal"/>
        <w:tabs>
          <w:tab w:val="clear" w:pos="720"/>
          <w:tab w:val="left" w:pos="4320" w:leader="none"/>
          <w:tab w:val="left" w:pos="8100" w:leader="none"/>
        </w:tabs>
        <w:ind w:end="-2790"/>
        <w:jc w:val="both"/>
        <w:rPr>
          <w:rFonts w:ascii="Helv;Arial" w:hAnsi="Helv;Arial" w:cs="Helv;Arial"/>
          <w:color w:val="000000"/>
        </w:rPr>
      </w:pPr>
      <w:r>
        <w:rPr>
          <w:rFonts w:cs="Helv;Arial" w:ascii="Helv;Arial" w:hAnsi="Helv;Arial"/>
          <w:color w:val="000000"/>
        </w:rPr>
        <w:tab/>
        <w:t>January 18, 2001</w:t>
      </w:r>
    </w:p>
    <w:p>
      <w:pPr>
        <w:pStyle w:val="Normal"/>
        <w:tabs>
          <w:tab w:val="clear" w:pos="720"/>
          <w:tab w:val="left" w:pos="4320" w:leader="none"/>
          <w:tab w:val="left" w:pos="8100" w:leader="none"/>
        </w:tabs>
        <w:ind w:end="-2790"/>
        <w:jc w:val="both"/>
        <w:rPr>
          <w:rFonts w:ascii="Helv;Arial" w:hAnsi="Helv;Arial" w:cs="Helv;Arial"/>
          <w:color w:val="000000"/>
        </w:rPr>
      </w:pPr>
      <w:r>
        <w:rPr>
          <w:rFonts w:cs="Helv;Arial" w:ascii="Helv;Arial" w:hAnsi="Helv;Arial"/>
          <w:color w:val="000000"/>
        </w:rPr>
      </w:r>
    </w:p>
    <w:p>
      <w:pPr>
        <w:pStyle w:val="Normal"/>
        <w:rPr>
          <w:rFonts w:ascii="Helvetica" w:hAnsi="Helvetica" w:cs="Helvetica"/>
          <w:color w:val="000000"/>
        </w:rPr>
      </w:pPr>
      <w:r>
        <w:rPr>
          <w:rFonts w:cs="Helvetica" w:ascii="Helvetica" w:hAnsi="Helvetica"/>
          <w:color w:val="000000"/>
        </w:rPr>
      </w:r>
    </w:p>
    <w:p>
      <w:pPr>
        <w:pStyle w:val="Normal"/>
        <w:rPr>
          <w:rFonts w:ascii="Helvetica" w:hAnsi="Helvetica" w:cs="Helvetica"/>
        </w:rPr>
      </w:pPr>
      <w:r>
        <w:rPr>
          <w:rFonts w:cs="Helvetica" w:ascii="Helvetica" w:hAnsi="Helvetica"/>
        </w:rPr>
        <w:t>National Steel Corporation</w:t>
      </w:r>
    </w:p>
    <w:p>
      <w:pPr>
        <w:pStyle w:val="EndnoteText"/>
        <w:rPr>
          <w:rFonts w:ascii="Helvetica" w:hAnsi="Helvetica" w:cs="Helvetica"/>
        </w:rPr>
      </w:pPr>
      <w:r>
        <w:rPr>
          <w:rFonts w:cs="Helvetica" w:ascii="Helvetica" w:hAnsi="Helvetica"/>
        </w:rPr>
        <w:t>4100 Edison Lakes Parkway</w:t>
      </w:r>
    </w:p>
    <w:p>
      <w:pPr>
        <w:pStyle w:val="Normal"/>
        <w:rPr>
          <w:rFonts w:ascii="Helvetica" w:hAnsi="Helvetica" w:cs="Helvetica"/>
        </w:rPr>
      </w:pPr>
      <w:r>
        <w:rPr>
          <w:rFonts w:cs="Helvetica" w:ascii="Helvetica" w:hAnsi="Helvetica"/>
        </w:rPr>
        <w:t>Mishawaka, Indiana  46545-3440</w:t>
      </w:r>
    </w:p>
    <w:p>
      <w:pPr>
        <w:pStyle w:val="Normal"/>
        <w:tabs>
          <w:tab w:val="clear" w:pos="720"/>
          <w:tab w:val="left" w:pos="4320" w:leader="none"/>
          <w:tab w:val="left" w:pos="8100" w:leader="none"/>
        </w:tabs>
        <w:ind w:end="-2790"/>
        <w:jc w:val="both"/>
        <w:rPr>
          <w:rFonts w:ascii="Helv;Arial" w:hAnsi="Helv;Arial" w:cs="Helv;Arial"/>
          <w:color w:val="000000"/>
        </w:rPr>
      </w:pPr>
      <w:r>
        <w:rPr>
          <w:rFonts w:cs="Helv;Arial" w:ascii="Helv;Arial" w:hAnsi="Helv;Arial"/>
          <w:color w:val="000000"/>
        </w:rPr>
      </w:r>
    </w:p>
    <w:p>
      <w:pPr>
        <w:pStyle w:val="Normal"/>
        <w:tabs>
          <w:tab w:val="clear" w:pos="720"/>
          <w:tab w:val="left" w:pos="8100" w:leader="none"/>
        </w:tabs>
        <w:ind w:end="-2790"/>
        <w:jc w:val="both"/>
        <w:rPr>
          <w:rFonts w:ascii="Helv;Arial" w:hAnsi="Helv;Arial" w:cs="Helv;Arial"/>
          <w:color w:val="000000"/>
        </w:rPr>
      </w:pPr>
      <w:r>
        <w:rPr>
          <w:rFonts w:cs="Helv;Arial" w:ascii="Helv;Arial" w:hAnsi="Helv;Arial"/>
          <w:color w:val="000000"/>
        </w:rPr>
      </w:r>
    </w:p>
    <w:p>
      <w:pPr>
        <w:pStyle w:val="Heading2"/>
        <w:ind w:hanging="0" w:start="0"/>
        <w:rPr/>
      </w:pPr>
      <w:r>
        <w:rPr/>
        <w:t>TERMINATION AGREEMENT</w:t>
      </w:r>
    </w:p>
    <w:p>
      <w:pPr>
        <w:pStyle w:val="Normal"/>
        <w:spacing w:lineRule="atLeast" w:line="240"/>
        <w:jc w:val="center"/>
        <w:rPr>
          <w:rFonts w:ascii="Helv;Arial" w:hAnsi="Helv;Arial" w:cs="Helv;Arial"/>
          <w:b/>
          <w:color w:val="000000"/>
          <w:sz w:val="22"/>
        </w:rPr>
      </w:pPr>
      <w:r>
        <w:rPr>
          <w:rFonts w:cs="Helv;Arial" w:ascii="Helv;Arial" w:hAnsi="Helv;Arial"/>
          <w:b/>
          <w:color w:val="000000"/>
          <w:sz w:val="22"/>
        </w:rPr>
      </w:r>
    </w:p>
    <w:p>
      <w:pPr>
        <w:pStyle w:val="Normal"/>
        <w:spacing w:lineRule="atLeast" w:line="240"/>
        <w:jc w:val="both"/>
        <w:rPr>
          <w:rFonts w:ascii="Helv;Arial" w:hAnsi="Helv;Arial" w:cs="Helv;Arial"/>
          <w:color w:val="000000"/>
        </w:rPr>
      </w:pPr>
      <w:r>
        <w:rPr>
          <w:rFonts w:cs="Helv;Arial" w:ascii="Helv;Arial" w:hAnsi="Helv;Arial"/>
          <w:color w:val="000000"/>
        </w:rPr>
        <w:t>Reference is here made to that certain Natural Gas Sale and Purchase Agreement dated November 12, 1996, (the “1996 Agreement”) between Enron North America Corp. (formerly known as Enron Capital &amp; Trade Resources Corp.) (“Enron”) and National Steel Corporation (“National”) regarding the firm purchase/sale of Gas during the period September 1, 1997 through August 31, 2007.  Enron and National desire to terminate the 1996 Agreement effective as of February 1, 2001.</w:t>
      </w:r>
    </w:p>
    <w:p>
      <w:pPr>
        <w:pStyle w:val="Normal"/>
        <w:spacing w:lineRule="atLeast" w:line="240"/>
        <w:jc w:val="both"/>
        <w:rPr>
          <w:rFonts w:ascii="Helv;Arial" w:hAnsi="Helv;Arial" w:cs="Helv;Arial"/>
          <w:color w:val="000000"/>
        </w:rPr>
      </w:pPr>
      <w:r>
        <w:rPr>
          <w:rFonts w:cs="Helv;Arial" w:ascii="Helv;Arial" w:hAnsi="Helv;Arial"/>
          <w:color w:val="000000"/>
        </w:rPr>
      </w:r>
    </w:p>
    <w:p>
      <w:pPr>
        <w:pStyle w:val="Normal"/>
        <w:spacing w:lineRule="atLeast" w:line="240"/>
        <w:jc w:val="both"/>
        <w:rPr>
          <w:rFonts w:ascii="Helv;Arial" w:hAnsi="Helv;Arial" w:cs="Helv;Arial"/>
          <w:color w:val="000000"/>
        </w:rPr>
      </w:pPr>
      <w:r>
        <w:rPr>
          <w:rFonts w:cs="Helv;Arial" w:ascii="Helv;Arial" w:hAnsi="Helv;Arial"/>
          <w:color w:val="000000"/>
        </w:rPr>
        <w:t>Now, Therefore, in consideration of the premises, Enron and National hereby agree that the 1996 Agreement is terminated effective February 1, 2001, and that each of Enron and National are released and discharged from their respective rights and obligations thereunder effective as of such date, except for the payments of any amounts due thereunder for the periods prior to the termination date.</w:t>
      </w:r>
    </w:p>
    <w:p>
      <w:pPr>
        <w:pStyle w:val="Normal"/>
        <w:spacing w:lineRule="atLeast" w:line="240"/>
        <w:jc w:val="both"/>
        <w:rPr>
          <w:rFonts w:ascii="Helv;Arial" w:hAnsi="Helv;Arial" w:cs="Helv;Arial"/>
          <w:color w:val="000000"/>
        </w:rPr>
      </w:pPr>
      <w:r>
        <w:rPr>
          <w:rFonts w:cs="Helv;Arial" w:ascii="Helv;Arial" w:hAnsi="Helv;Arial"/>
          <w:color w:val="000000"/>
        </w:rPr>
      </w:r>
    </w:p>
    <w:p>
      <w:pPr>
        <w:pStyle w:val="Normal"/>
        <w:spacing w:lineRule="atLeast" w:line="240"/>
        <w:jc w:val="both"/>
        <w:rPr>
          <w:rFonts w:ascii="Helv;Arial" w:hAnsi="Helv;Arial" w:cs="Helv;Arial"/>
          <w:color w:val="000000"/>
        </w:rPr>
      </w:pPr>
      <w:r>
        <w:rPr>
          <w:rFonts w:cs="Helv;Arial" w:ascii="Helv;Arial" w:hAnsi="Helv;Arial"/>
          <w:color w:val="000000"/>
        </w:rPr>
        <w:t>In consideration of the agreement of National to terminate the 1996 Agreement, Enron hereby agrees to wire transfer to National on January 18, 2001 the sum of $25,019,761 which represents a termination payment of $26,210,564 less $1,190,803 which is owed by National to Enron for Enron’s invoices 19752SA (value $789,973) and 19922SA (value $400,830), issued pursuant to agreement number 511635 dated and confirmed on November 30, 2000 and the 1996 agreement respectively.</w:t>
      </w:r>
    </w:p>
    <w:p>
      <w:pPr>
        <w:pStyle w:val="Normal"/>
        <w:spacing w:lineRule="atLeast" w:line="240"/>
        <w:jc w:val="both"/>
        <w:rPr>
          <w:rFonts w:ascii="Helv;Arial" w:hAnsi="Helv;Arial" w:cs="Helv;Arial"/>
          <w:color w:val="000000"/>
        </w:rPr>
      </w:pPr>
      <w:r>
        <w:rPr>
          <w:rFonts w:cs="Helv;Arial" w:ascii="Helv;Arial" w:hAnsi="Helv;Arial"/>
          <w:color w:val="000000"/>
        </w:rPr>
      </w:r>
    </w:p>
    <w:p>
      <w:pPr>
        <w:pStyle w:val="Normal"/>
        <w:spacing w:lineRule="atLeast" w:line="240"/>
        <w:jc w:val="both"/>
        <w:rPr>
          <w:rFonts w:ascii="Helv;Arial" w:hAnsi="Helv;Arial" w:cs="Helv;Arial"/>
          <w:color w:val="000000"/>
        </w:rPr>
      </w:pPr>
      <w:r>
        <w:rPr>
          <w:rFonts w:cs="Helv;Arial" w:ascii="Helv;Arial" w:hAnsi="Helv;Arial"/>
          <w:color w:val="000000"/>
        </w:rPr>
        <w:t>If the foregoing is in accordance with your understanding of our agreement, please execute each copy of this letter in the space provided and return both copies to Enron.  We will execute same and return one fully executed original to your for your files.</w:t>
      </w:r>
    </w:p>
    <w:p>
      <w:pPr>
        <w:pStyle w:val="Normal"/>
        <w:spacing w:lineRule="atLeast" w:line="240"/>
        <w:jc w:val="both"/>
        <w:rPr>
          <w:rFonts w:ascii="Helv;Arial" w:hAnsi="Helv;Arial" w:cs="Helv;Arial"/>
          <w:color w:val="000000"/>
        </w:rPr>
      </w:pPr>
      <w:r>
        <w:rPr>
          <w:rFonts w:cs="Helv;Arial" w:ascii="Helv;Arial" w:hAnsi="Helv;Arial"/>
          <w:color w:val="000000"/>
        </w:rPr>
      </w:r>
    </w:p>
    <w:tbl>
      <w:tblPr>
        <w:tblW w:w="4410" w:type="dxa"/>
        <w:jc w:val="start"/>
        <w:tblInd w:w="4608" w:type="dxa"/>
        <w:tblLayout w:type="fixed"/>
        <w:tblCellMar>
          <w:top w:w="0" w:type="dxa"/>
          <w:start w:w="108" w:type="dxa"/>
          <w:bottom w:w="0" w:type="dxa"/>
          <w:end w:w="108" w:type="dxa"/>
        </w:tblCellMar>
      </w:tblPr>
      <w:tblGrid>
        <w:gridCol w:w="540"/>
        <w:gridCol w:w="450"/>
        <w:gridCol w:w="1170"/>
        <w:gridCol w:w="2250"/>
      </w:tblGrid>
      <w:tr>
        <w:trPr>
          <w:trHeight w:val="340" w:hRule="atLeast"/>
        </w:trPr>
        <w:tc>
          <w:tcPr>
            <w:tcW w:w="4410" w:type="dxa"/>
            <w:gridSpan w:val="4"/>
            <w:tcBorders/>
          </w:tcPr>
          <w:p>
            <w:pPr>
              <w:pStyle w:val="Normal"/>
              <w:spacing w:lineRule="atLeast" w:line="240"/>
              <w:jc w:val="both"/>
              <w:rPr>
                <w:rFonts w:ascii="Helv;Arial" w:hAnsi="Helv;Arial" w:cs="Helv;Arial"/>
                <w:color w:val="000000"/>
              </w:rPr>
            </w:pPr>
            <w:r>
              <w:rPr>
                <w:rFonts w:cs="Helv;Arial" w:ascii="Helv;Arial" w:hAnsi="Helv;Arial"/>
                <w:color w:val="000000"/>
              </w:rPr>
              <w:t>ENRON NORTH AMERICA CORP.</w:t>
            </w:r>
          </w:p>
        </w:tc>
      </w:tr>
      <w:tr>
        <w:trPr>
          <w:trHeight w:val="340" w:hRule="atLeast"/>
        </w:trPr>
        <w:tc>
          <w:tcPr>
            <w:tcW w:w="2160" w:type="dxa"/>
            <w:gridSpan w:val="3"/>
            <w:tcBorders/>
          </w:tcPr>
          <w:p>
            <w:pPr>
              <w:pStyle w:val="Normal"/>
              <w:snapToGrid w:val="false"/>
              <w:spacing w:lineRule="atLeast" w:line="240"/>
              <w:jc w:val="both"/>
              <w:rPr>
                <w:rFonts w:ascii="Helv;Arial" w:hAnsi="Helv;Arial" w:cs="Helv;Arial"/>
                <w:color w:val="000000"/>
              </w:rPr>
            </w:pPr>
            <w:r>
              <w:rPr>
                <w:rFonts w:cs="Helv;Arial" w:ascii="Helv;Arial" w:hAnsi="Helv;Arial"/>
                <w:color w:val="000000"/>
              </w:rPr>
            </w:r>
          </w:p>
        </w:tc>
        <w:tc>
          <w:tcPr>
            <w:tcW w:w="2250" w:type="dxa"/>
            <w:tcBorders/>
          </w:tcPr>
          <w:p>
            <w:pPr>
              <w:pStyle w:val="Normal"/>
              <w:snapToGrid w:val="false"/>
              <w:spacing w:lineRule="atLeast" w:line="240"/>
              <w:jc w:val="both"/>
              <w:rPr>
                <w:rFonts w:ascii="Helv;Arial" w:hAnsi="Helv;Arial" w:cs="Helv;Arial"/>
                <w:color w:val="000000"/>
              </w:rPr>
            </w:pPr>
            <w:r>
              <w:rPr>
                <w:rFonts w:cs="Helv;Arial" w:ascii="Helv;Arial" w:hAnsi="Helv;Arial"/>
                <w:color w:val="000000"/>
              </w:rPr>
            </w:r>
          </w:p>
        </w:tc>
      </w:tr>
      <w:tr>
        <w:trPr>
          <w:trHeight w:val="340" w:hRule="atLeast"/>
        </w:trPr>
        <w:tc>
          <w:tcPr>
            <w:tcW w:w="540" w:type="dxa"/>
            <w:tcBorders/>
          </w:tcPr>
          <w:p>
            <w:pPr>
              <w:pStyle w:val="Normal"/>
              <w:spacing w:lineRule="atLeast" w:line="240"/>
              <w:jc w:val="both"/>
              <w:rPr>
                <w:rFonts w:ascii="Helv;Arial" w:hAnsi="Helv;Arial" w:cs="Helv;Arial"/>
                <w:color w:val="000000"/>
              </w:rPr>
            </w:pPr>
            <w:r>
              <w:rPr>
                <w:rFonts w:cs="Helv;Arial" w:ascii="Helv;Arial" w:hAnsi="Helv;Arial"/>
                <w:color w:val="000000"/>
              </w:rPr>
              <w:t>By:</w:t>
            </w:r>
          </w:p>
        </w:tc>
        <w:tc>
          <w:tcPr>
            <w:tcW w:w="3870" w:type="dxa"/>
            <w:gridSpan w:val="3"/>
            <w:tcBorders>
              <w:bottom w:val="single" w:sz="4" w:space="0" w:color="000000"/>
            </w:tcBorders>
          </w:tcPr>
          <w:p>
            <w:pPr>
              <w:pStyle w:val="Normal"/>
              <w:snapToGrid w:val="false"/>
              <w:spacing w:lineRule="atLeast" w:line="240"/>
              <w:jc w:val="both"/>
              <w:rPr>
                <w:rFonts w:ascii="Helv;Arial" w:hAnsi="Helv;Arial" w:cs="Helv;Arial"/>
                <w:color w:val="000000"/>
              </w:rPr>
            </w:pPr>
            <w:r>
              <w:rPr>
                <w:rFonts w:cs="Helv;Arial" w:ascii="Helv;Arial" w:hAnsi="Helv;Arial"/>
                <w:color w:val="000000"/>
              </w:rPr>
            </w:r>
          </w:p>
        </w:tc>
      </w:tr>
      <w:tr>
        <w:trPr>
          <w:trHeight w:val="340" w:hRule="atLeast"/>
        </w:trPr>
        <w:tc>
          <w:tcPr>
            <w:tcW w:w="990" w:type="dxa"/>
            <w:gridSpan w:val="2"/>
            <w:tcBorders/>
          </w:tcPr>
          <w:p>
            <w:pPr>
              <w:pStyle w:val="Normal"/>
              <w:spacing w:lineRule="atLeast" w:line="240"/>
              <w:jc w:val="both"/>
              <w:rPr>
                <w:rFonts w:ascii="Helv;Arial" w:hAnsi="Helv;Arial" w:cs="Helv;Arial"/>
                <w:color w:val="000000"/>
              </w:rPr>
            </w:pPr>
            <w:r>
              <w:rPr>
                <w:rFonts w:cs="Helv;Arial" w:ascii="Helv;Arial" w:hAnsi="Helv;Arial"/>
                <w:color w:val="000000"/>
              </w:rPr>
              <w:t>Name:</w:t>
            </w:r>
          </w:p>
        </w:tc>
        <w:tc>
          <w:tcPr>
            <w:tcW w:w="3420" w:type="dxa"/>
            <w:gridSpan w:val="2"/>
            <w:tcBorders>
              <w:bottom w:val="single" w:sz="4" w:space="0" w:color="000000"/>
            </w:tcBorders>
          </w:tcPr>
          <w:p>
            <w:pPr>
              <w:pStyle w:val="Normal"/>
              <w:snapToGrid w:val="false"/>
              <w:spacing w:lineRule="atLeast" w:line="240"/>
              <w:jc w:val="both"/>
              <w:rPr>
                <w:rFonts w:ascii="Helv;Arial" w:hAnsi="Helv;Arial" w:cs="Helv;Arial"/>
                <w:color w:val="000000"/>
              </w:rPr>
            </w:pPr>
            <w:r>
              <w:rPr>
                <w:rFonts w:cs="Helv;Arial" w:ascii="Helv;Arial" w:hAnsi="Helv;Arial"/>
                <w:color w:val="000000"/>
              </w:rPr>
            </w:r>
          </w:p>
        </w:tc>
      </w:tr>
      <w:tr>
        <w:trPr>
          <w:trHeight w:val="340" w:hRule="atLeast"/>
        </w:trPr>
        <w:tc>
          <w:tcPr>
            <w:tcW w:w="990" w:type="dxa"/>
            <w:gridSpan w:val="2"/>
            <w:tcBorders/>
          </w:tcPr>
          <w:p>
            <w:pPr>
              <w:pStyle w:val="Normal"/>
              <w:spacing w:lineRule="atLeast" w:line="240"/>
              <w:jc w:val="both"/>
              <w:rPr>
                <w:rFonts w:ascii="Helv;Arial" w:hAnsi="Helv;Arial" w:cs="Helv;Arial"/>
                <w:color w:val="000000"/>
              </w:rPr>
            </w:pPr>
            <w:r>
              <w:rPr>
                <w:rFonts w:cs="Helv;Arial" w:ascii="Helv;Arial" w:hAnsi="Helv;Arial"/>
                <w:color w:val="000000"/>
              </w:rPr>
              <w:t>Title:</w:t>
            </w:r>
          </w:p>
        </w:tc>
        <w:tc>
          <w:tcPr>
            <w:tcW w:w="3420" w:type="dxa"/>
            <w:gridSpan w:val="2"/>
            <w:tcBorders>
              <w:bottom w:val="single" w:sz="4" w:space="0" w:color="000000"/>
            </w:tcBorders>
          </w:tcPr>
          <w:p>
            <w:pPr>
              <w:pStyle w:val="Normal"/>
              <w:snapToGrid w:val="false"/>
              <w:spacing w:lineRule="atLeast" w:line="240"/>
              <w:jc w:val="both"/>
              <w:rPr>
                <w:rFonts w:ascii="Helv;Arial" w:hAnsi="Helv;Arial" w:cs="Helv;Arial"/>
                <w:color w:val="000000"/>
              </w:rPr>
            </w:pPr>
            <w:r>
              <w:rPr>
                <w:rFonts w:cs="Helv;Arial" w:ascii="Helv;Arial" w:hAnsi="Helv;Arial"/>
                <w:color w:val="000000"/>
              </w:rPr>
            </w:r>
          </w:p>
        </w:tc>
      </w:tr>
    </w:tbl>
    <w:p>
      <w:pPr>
        <w:pStyle w:val="Normal"/>
        <w:spacing w:lineRule="atLeast" w:line="240"/>
        <w:jc w:val="both"/>
        <w:rPr>
          <w:rFonts w:ascii="Helv;Arial" w:hAnsi="Helv;Arial" w:cs="Helv;Arial"/>
          <w:color w:val="000000"/>
        </w:rPr>
      </w:pPr>
      <w:r>
        <w:rPr>
          <w:rFonts w:cs="Helv;Arial" w:ascii="Helv;Arial" w:hAnsi="Helv;Arial"/>
          <w:color w:val="000000"/>
        </w:rPr>
      </w:r>
    </w:p>
    <w:tbl>
      <w:tblPr>
        <w:tblW w:w="4608" w:type="dxa"/>
        <w:jc w:val="start"/>
        <w:tblInd w:w="0" w:type="dxa"/>
        <w:tblLayout w:type="fixed"/>
        <w:tblCellMar>
          <w:top w:w="0" w:type="dxa"/>
          <w:start w:w="108" w:type="dxa"/>
          <w:bottom w:w="0" w:type="dxa"/>
          <w:end w:w="108" w:type="dxa"/>
        </w:tblCellMar>
      </w:tblPr>
      <w:tblGrid>
        <w:gridCol w:w="648"/>
        <w:gridCol w:w="540"/>
        <w:gridCol w:w="3420"/>
      </w:tblGrid>
      <w:tr>
        <w:trPr/>
        <w:tc>
          <w:tcPr>
            <w:tcW w:w="4608" w:type="dxa"/>
            <w:gridSpan w:val="3"/>
            <w:tcBorders/>
          </w:tcPr>
          <w:p>
            <w:pPr>
              <w:pStyle w:val="Normal"/>
              <w:spacing w:lineRule="atLeast" w:line="240"/>
              <w:jc w:val="both"/>
              <w:rPr>
                <w:rFonts w:ascii="Helv;Arial" w:hAnsi="Helv;Arial" w:cs="Helv;Arial"/>
                <w:color w:val="000000"/>
              </w:rPr>
            </w:pPr>
            <w:r>
              <w:rPr>
                <w:rFonts w:cs="Helv;Arial" w:ascii="Helv;Arial" w:hAnsi="Helv;Arial"/>
                <w:color w:val="000000"/>
              </w:rPr>
              <w:t>ACCEPTED AND AGREED TO</w:t>
            </w:r>
          </w:p>
        </w:tc>
      </w:tr>
      <w:tr>
        <w:trPr/>
        <w:tc>
          <w:tcPr>
            <w:tcW w:w="648" w:type="dxa"/>
            <w:tcBorders/>
          </w:tcPr>
          <w:p>
            <w:pPr>
              <w:pStyle w:val="Normal"/>
              <w:spacing w:lineRule="atLeast" w:line="240"/>
              <w:jc w:val="both"/>
              <w:rPr>
                <w:rFonts w:ascii="Helv;Arial" w:hAnsi="Helv;Arial" w:cs="Helv;Arial"/>
                <w:color w:val="000000"/>
              </w:rPr>
            </w:pPr>
            <w:r>
              <w:rPr>
                <w:rFonts w:cs="Helv;Arial" w:ascii="Helv;Arial" w:hAnsi="Helv;Arial"/>
                <w:color w:val="000000"/>
              </w:rPr>
              <w:t>This</w:t>
            </w:r>
          </w:p>
        </w:tc>
        <w:tc>
          <w:tcPr>
            <w:tcW w:w="540" w:type="dxa"/>
            <w:tcBorders>
              <w:bottom w:val="single" w:sz="4" w:space="0" w:color="000000"/>
            </w:tcBorders>
          </w:tcPr>
          <w:p>
            <w:pPr>
              <w:pStyle w:val="Normal"/>
              <w:snapToGrid w:val="false"/>
              <w:spacing w:lineRule="atLeast" w:line="240"/>
              <w:jc w:val="both"/>
              <w:rPr>
                <w:rFonts w:ascii="Helv;Arial" w:hAnsi="Helv;Arial" w:cs="Helv;Arial"/>
                <w:color w:val="000000"/>
              </w:rPr>
            </w:pPr>
            <w:r>
              <w:rPr>
                <w:rFonts w:cs="Helv;Arial" w:ascii="Helv;Arial" w:hAnsi="Helv;Arial"/>
                <w:color w:val="000000"/>
              </w:rPr>
            </w:r>
          </w:p>
        </w:tc>
        <w:tc>
          <w:tcPr>
            <w:tcW w:w="3420" w:type="dxa"/>
            <w:tcBorders/>
          </w:tcPr>
          <w:p>
            <w:pPr>
              <w:pStyle w:val="Normal"/>
              <w:spacing w:lineRule="atLeast" w:line="240"/>
              <w:jc w:val="both"/>
              <w:rPr>
                <w:rFonts w:ascii="Helv;Arial" w:hAnsi="Helv;Arial" w:cs="Helv;Arial"/>
                <w:color w:val="000000"/>
              </w:rPr>
            </w:pPr>
            <w:r>
              <w:rPr>
                <w:rFonts w:cs="Helv;Arial" w:ascii="Helv;Arial" w:hAnsi="Helv;Arial"/>
                <w:color w:val="000000"/>
              </w:rPr>
              <w:t>day of January, 2001.</w:t>
            </w:r>
          </w:p>
        </w:tc>
      </w:tr>
    </w:tbl>
    <w:p>
      <w:pPr>
        <w:pStyle w:val="Normal"/>
        <w:spacing w:lineRule="atLeast" w:line="240"/>
        <w:jc w:val="both"/>
        <w:rPr>
          <w:rFonts w:ascii="Helv;Arial" w:hAnsi="Helv;Arial" w:cs="Helv;Arial"/>
          <w:color w:val="000000"/>
        </w:rPr>
      </w:pPr>
      <w:r>
        <w:rPr>
          <w:rFonts w:cs="Helv;Arial" w:ascii="Helv;Arial" w:hAnsi="Helv;Arial"/>
          <w:color w:val="000000"/>
        </w:rPr>
      </w:r>
    </w:p>
    <w:p>
      <w:pPr>
        <w:pStyle w:val="Normal"/>
        <w:spacing w:lineRule="atLeast" w:line="240"/>
        <w:jc w:val="both"/>
        <w:rPr>
          <w:rFonts w:ascii="Helv;Arial" w:hAnsi="Helv;Arial" w:cs="Helv;Arial"/>
          <w:color w:val="000000"/>
        </w:rPr>
      </w:pPr>
      <w:r>
        <w:rPr>
          <w:rFonts w:cs="Helv;Arial" w:ascii="Helv;Arial" w:hAnsi="Helv;Arial"/>
          <w:color w:val="000000"/>
        </w:rPr>
        <w:t>NATIONAL STEEL CORPORATION</w:t>
      </w:r>
    </w:p>
    <w:p>
      <w:pPr>
        <w:pStyle w:val="Normal"/>
        <w:spacing w:lineRule="atLeast" w:line="240"/>
        <w:jc w:val="both"/>
        <w:rPr>
          <w:rFonts w:ascii="Helv;Arial" w:hAnsi="Helv;Arial" w:cs="Helv;Arial"/>
          <w:color w:val="000000"/>
        </w:rPr>
      </w:pPr>
      <w:r>
        <w:rPr>
          <w:rFonts w:cs="Helv;Arial" w:ascii="Helv;Arial" w:hAnsi="Helv;Arial"/>
          <w:color w:val="000000"/>
        </w:rPr>
      </w:r>
    </w:p>
    <w:tbl>
      <w:tblPr>
        <w:tblW w:w="4608" w:type="dxa"/>
        <w:jc w:val="start"/>
        <w:tblInd w:w="0" w:type="dxa"/>
        <w:tblLayout w:type="fixed"/>
        <w:tblCellMar>
          <w:top w:w="0" w:type="dxa"/>
          <w:start w:w="108" w:type="dxa"/>
          <w:bottom w:w="0" w:type="dxa"/>
          <w:end w:w="108" w:type="dxa"/>
        </w:tblCellMar>
      </w:tblPr>
      <w:tblGrid>
        <w:gridCol w:w="648"/>
        <w:gridCol w:w="270"/>
        <w:gridCol w:w="3690"/>
      </w:tblGrid>
      <w:tr>
        <w:trPr>
          <w:trHeight w:val="340" w:hRule="atLeast"/>
        </w:trPr>
        <w:tc>
          <w:tcPr>
            <w:tcW w:w="648" w:type="dxa"/>
            <w:tcBorders/>
          </w:tcPr>
          <w:p>
            <w:pPr>
              <w:pStyle w:val="Normal"/>
              <w:spacing w:lineRule="atLeast" w:line="240"/>
              <w:jc w:val="both"/>
              <w:rPr>
                <w:rFonts w:ascii="Helv;Arial" w:hAnsi="Helv;Arial" w:cs="Helv;Arial"/>
                <w:color w:val="000000"/>
              </w:rPr>
            </w:pPr>
            <w:r>
              <w:rPr>
                <w:rFonts w:cs="Helv;Arial" w:ascii="Helv;Arial" w:hAnsi="Helv;Arial"/>
                <w:color w:val="000000"/>
              </w:rPr>
              <w:t>By:</w:t>
            </w:r>
          </w:p>
        </w:tc>
        <w:tc>
          <w:tcPr>
            <w:tcW w:w="3960" w:type="dxa"/>
            <w:gridSpan w:val="2"/>
            <w:tcBorders>
              <w:bottom w:val="single" w:sz="4" w:space="0" w:color="000000"/>
            </w:tcBorders>
          </w:tcPr>
          <w:p>
            <w:pPr>
              <w:pStyle w:val="Normal"/>
              <w:snapToGrid w:val="false"/>
              <w:spacing w:lineRule="atLeast" w:line="240"/>
              <w:jc w:val="both"/>
              <w:rPr>
                <w:rFonts w:ascii="Helv;Arial" w:hAnsi="Helv;Arial" w:cs="Helv;Arial"/>
                <w:color w:val="000000"/>
              </w:rPr>
            </w:pPr>
            <w:r>
              <w:rPr>
                <w:rFonts w:cs="Helv;Arial" w:ascii="Helv;Arial" w:hAnsi="Helv;Arial"/>
                <w:color w:val="000000"/>
              </w:rPr>
            </w:r>
          </w:p>
        </w:tc>
      </w:tr>
      <w:tr>
        <w:trPr>
          <w:trHeight w:val="340" w:hRule="atLeast"/>
        </w:trPr>
        <w:tc>
          <w:tcPr>
            <w:tcW w:w="918" w:type="dxa"/>
            <w:gridSpan w:val="2"/>
            <w:tcBorders/>
          </w:tcPr>
          <w:p>
            <w:pPr>
              <w:pStyle w:val="Normal"/>
              <w:spacing w:lineRule="atLeast" w:line="240"/>
              <w:jc w:val="both"/>
              <w:rPr>
                <w:rFonts w:ascii="Helv;Arial" w:hAnsi="Helv;Arial" w:cs="Helv;Arial"/>
                <w:color w:val="000000"/>
              </w:rPr>
            </w:pPr>
            <w:r>
              <w:rPr>
                <w:rFonts w:cs="Helv;Arial" w:ascii="Helv;Arial" w:hAnsi="Helv;Arial"/>
                <w:color w:val="000000"/>
              </w:rPr>
              <w:t>Name:</w:t>
            </w:r>
          </w:p>
        </w:tc>
        <w:tc>
          <w:tcPr>
            <w:tcW w:w="3690" w:type="dxa"/>
            <w:tcBorders/>
          </w:tcPr>
          <w:p>
            <w:pPr>
              <w:pStyle w:val="Normal"/>
              <w:snapToGrid w:val="false"/>
              <w:spacing w:lineRule="atLeast" w:line="240"/>
              <w:jc w:val="both"/>
              <w:rPr>
                <w:rFonts w:ascii="Helv;Arial" w:hAnsi="Helv;Arial" w:cs="Helv;Arial"/>
                <w:color w:val="000000"/>
              </w:rPr>
            </w:pPr>
            <w:r>
              <w:rPr>
                <w:rFonts w:cs="Helv;Arial" w:ascii="Helv;Arial" w:hAnsi="Helv;Arial"/>
                <w:color w:val="000000"/>
              </w:rPr>
            </w:r>
          </w:p>
        </w:tc>
      </w:tr>
      <w:tr>
        <w:trPr>
          <w:trHeight w:val="340" w:hRule="atLeast"/>
        </w:trPr>
        <w:tc>
          <w:tcPr>
            <w:tcW w:w="918" w:type="dxa"/>
            <w:gridSpan w:val="2"/>
            <w:tcBorders/>
          </w:tcPr>
          <w:p>
            <w:pPr>
              <w:pStyle w:val="Normal"/>
              <w:spacing w:lineRule="atLeast" w:line="240"/>
              <w:jc w:val="both"/>
              <w:rPr>
                <w:rFonts w:ascii="Helv;Arial" w:hAnsi="Helv;Arial" w:cs="Helv;Arial"/>
                <w:color w:val="000000"/>
              </w:rPr>
            </w:pPr>
            <w:r>
              <w:rPr>
                <w:rFonts w:cs="Helv;Arial" w:ascii="Helv;Arial" w:hAnsi="Helv;Arial"/>
                <w:color w:val="000000"/>
              </w:rPr>
              <w:t>Title:</w:t>
            </w:r>
          </w:p>
        </w:tc>
        <w:tc>
          <w:tcPr>
            <w:tcW w:w="3690" w:type="dxa"/>
            <w:tcBorders>
              <w:top w:val="single" w:sz="4" w:space="0" w:color="000000"/>
              <w:bottom w:val="single" w:sz="4" w:space="0" w:color="000000"/>
            </w:tcBorders>
          </w:tcPr>
          <w:p>
            <w:pPr>
              <w:pStyle w:val="Normal"/>
              <w:snapToGrid w:val="false"/>
              <w:spacing w:lineRule="atLeast" w:line="240"/>
              <w:jc w:val="both"/>
              <w:rPr>
                <w:rFonts w:ascii="Helv;Arial" w:hAnsi="Helv;Arial" w:cs="Helv;Arial"/>
                <w:color w:val="000000"/>
              </w:rPr>
            </w:pPr>
            <w:r>
              <w:rPr>
                <w:rFonts w:cs="Helv;Arial" w:ascii="Helv;Arial" w:hAnsi="Helv;Arial"/>
                <w:color w:val="000000"/>
              </w:rPr>
            </w:r>
          </w:p>
        </w:tc>
      </w:tr>
    </w:tbl>
    <w:p>
      <w:pPr>
        <w:pStyle w:val="Normal"/>
        <w:spacing w:lineRule="atLeast" w:line="240"/>
        <w:jc w:val="both"/>
        <w:rPr/>
      </w:pPr>
      <w:r>
        <w:rPr/>
      </w:r>
    </w:p>
    <w:sectPr>
      <w:headerReference w:type="default" r:id="rId2"/>
      <w:footerReference w:type="default" r:id="rId3"/>
      <w:type w:val="nextPage"/>
      <w:pgSz w:w="12240" w:h="15840"/>
      <w:pgMar w:left="144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Helv">
    <w:altName w:val="Arial"/>
    <w:charset w:val="00" w:characterSet="windows-1252"/>
    <w:family w:val="swiss"/>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/mnt/main-storage/datasets/enron-docs/doc/2001_008altr.doc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687781929"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jc w:val="both"/>
      <w:outlineLvl w:val="0"/>
    </w:pPr>
    <w:rPr>
      <w:rFonts w:ascii="Helv;Arial" w:hAnsi="Helv;Arial" w:cs="Helv;Arial"/>
      <w:b/>
      <w:color w:val="000000"/>
      <w:sz w:val="24"/>
      <w:u w:val="single"/>
    </w:rPr>
  </w:style>
  <w:style w:type="paragraph" w:styleId="Heading2">
    <w:name w:val="heading 2"/>
    <w:basedOn w:val="Normal"/>
    <w:next w:val="Normal"/>
    <w:qFormat/>
    <w:pPr>
      <w:keepNext w:val="true"/>
      <w:numPr>
        <w:ilvl w:val="1"/>
        <w:numId w:val="1"/>
      </w:numPr>
      <w:spacing w:lineRule="atLeast" w:line="240"/>
      <w:jc w:val="center"/>
      <w:outlineLvl w:val="1"/>
    </w:pPr>
    <w:rPr>
      <w:rFonts w:ascii="Helv;Arial" w:hAnsi="Helv;Arial" w:cs="Helv;Arial"/>
      <w:b/>
      <w:color w:val="000000"/>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2001-01-18T13:30:00Z</dcterms:created>
  <dc:creator>lynda geyer</dc:creator>
  <dc:description/>
  <dc:language>en-CA</dc:language>
  <cp:lastModifiedBy>dhyvl</cp:lastModifiedBy>
  <cp:lastPrinted>2001-01-18T10:07:00Z</cp:lastPrinted>
  <dcterms:modified xsi:type="dcterms:W3CDTF">2001-01-18T13:37:00Z</dcterms:modified>
  <cp:revision>3</cp:revision>
  <dc:subject/>
  <dc:title>March 14, 1995</dc:title>
</cp:coreProperties>
</file>