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Mieco,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Marubeni Corporation shall have defaulted on its indebted</w:t>
        <w:softHyphen/>
        <w:t xml:space="preserve">ness to third parties, resulting in an acceleration of obligations of Marubeni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In order to secure all payment obligations of Company to Customer hereunder, Enron Corp. has executed and delivered to Customer a guaranty agreement dated July 1, 1997.  In order to secure all payment obligations of Customer to Company hereunder, Marubeni Corporation has executed and delivered to Company a guaranty agreement dated January 2, 2000.</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Customer's Collateral Threshold shall be determined based on the Moody’s Credit Rating of Marubeni Corporation and Company's Collateral Threshold shall be determined based on the Moody’s Credit Rating of Enron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Moody’s Credit</w:t>
        <w:tab/>
        <w:t xml:space="preserve">            Customer's</w:t>
        <w:tab/>
        <w:tab/>
        <w:t xml:space="preserve">    Company's</w:t>
      </w:r>
    </w:p>
    <w:p>
      <w:pPr>
        <w:pStyle w:val="Normal"/>
        <w:jc w:val="both"/>
        <w:rPr>
          <w:rFonts w:ascii="Arial Narrow" w:hAnsi="Arial Narrow" w:cs="Arial Narrow"/>
          <w:sz w:val="18"/>
          <w:u w:val="single"/>
        </w:rPr>
      </w:pPr>
      <w:r>
        <w:rPr>
          <w:rFonts w:cs="Arial Narrow" w:ascii="Arial Narrow" w:hAnsi="Arial Narrow"/>
          <w:sz w:val="18"/>
          <w:u w:val="single"/>
        </w:rPr>
        <w:t>Rating of at Least</w:t>
        <w:tab/>
        <w:t xml:space="preserve">      Collateral Threshold</w:t>
        <w:tab/>
        <w:t>Collateral Threshold</w:t>
      </w:r>
    </w:p>
    <w:p>
      <w:pPr>
        <w:pStyle w:val="Normal"/>
        <w:jc w:val="both"/>
        <w:rPr>
          <w:rFonts w:ascii="Arial Narrow" w:hAnsi="Arial Narrow" w:cs="Arial Narrow"/>
          <w:sz w:val="18"/>
        </w:rPr>
      </w:pPr>
      <w:r>
        <w:rPr>
          <w:rFonts w:cs="Arial Narrow" w:ascii="Arial Narrow" w:hAnsi="Arial Narrow"/>
          <w:sz w:val="18"/>
        </w:rPr>
        <w:t>Baa1 or above</w:t>
        <w:tab/>
        <w:t xml:space="preserve">          $5,000,000.00</w:t>
        <w:tab/>
        <w:tab/>
        <w:t>$10,000,000.00</w:t>
      </w:r>
    </w:p>
    <w:p>
      <w:pPr>
        <w:pStyle w:val="Normal"/>
        <w:jc w:val="both"/>
        <w:rPr>
          <w:rFonts w:ascii="Arial Narrow" w:hAnsi="Arial Narrow" w:cs="Arial Narrow"/>
          <w:sz w:val="18"/>
        </w:rPr>
      </w:pPr>
      <w:r>
        <w:rPr>
          <w:rFonts w:cs="Arial Narrow" w:ascii="Arial Narrow" w:hAnsi="Arial Narrow"/>
          <w:sz w:val="18"/>
        </w:rPr>
        <w:t>Baa2</w:t>
        <w:tab/>
        <w:tab/>
        <w:t xml:space="preserve">          $4,000,000.00</w:t>
        <w:tab/>
        <w:tab/>
        <w:t>$10,000,000.00</w:t>
      </w:r>
    </w:p>
    <w:p>
      <w:pPr>
        <w:pStyle w:val="Normal"/>
        <w:jc w:val="both"/>
        <w:rPr>
          <w:rFonts w:ascii="Arial Narrow" w:hAnsi="Arial Narrow" w:cs="Arial Narrow"/>
          <w:sz w:val="18"/>
        </w:rPr>
      </w:pPr>
      <w:r>
        <w:rPr>
          <w:rFonts w:cs="Arial Narrow" w:ascii="Arial Narrow" w:hAnsi="Arial Narrow"/>
          <w:sz w:val="18"/>
        </w:rPr>
        <w:t>Baa3</w:t>
        <w:tab/>
        <w:tab/>
        <w:t xml:space="preserve">          $3,000,000.00</w:t>
        <w:tab/>
        <w:tab/>
        <w:t>$10,000,000.00</w:t>
      </w:r>
    </w:p>
    <w:p>
      <w:pPr>
        <w:pStyle w:val="Normal"/>
        <w:jc w:val="both"/>
        <w:rPr>
          <w:rFonts w:ascii="Arial Narrow" w:hAnsi="Arial Narrow" w:cs="Arial Narrow"/>
          <w:sz w:val="18"/>
        </w:rPr>
      </w:pPr>
      <w:r>
        <w:rPr>
          <w:rFonts w:cs="Arial Narrow" w:ascii="Arial Narrow" w:hAnsi="Arial Narrow"/>
          <w:sz w:val="18"/>
        </w:rPr>
        <w:t>Ba1</w:t>
        <w:tab/>
        <w:tab/>
        <w:t xml:space="preserve">          $1,500,000.00</w:t>
        <w:tab/>
        <w:tab/>
        <w:t>$  7,000,000.00</w:t>
      </w:r>
    </w:p>
    <w:p>
      <w:pPr>
        <w:pStyle w:val="Normal"/>
        <w:jc w:val="both"/>
        <w:rPr>
          <w:rFonts w:ascii="Arial Narrow" w:hAnsi="Arial Narrow" w:cs="Arial Narrow"/>
          <w:sz w:val="18"/>
        </w:rPr>
      </w:pPr>
      <w:r>
        <w:rPr>
          <w:rFonts w:cs="Arial Narrow" w:ascii="Arial Narrow" w:hAnsi="Arial Narrow"/>
          <w:sz w:val="18"/>
        </w:rPr>
        <w:t>Ba2</w:t>
        <w:tab/>
        <w:tab/>
        <w:t xml:space="preserve">          $1,000,000.00</w:t>
        <w:tab/>
        <w:tab/>
        <w:t>$  5,000,000.00</w:t>
      </w:r>
    </w:p>
    <w:p>
      <w:pPr>
        <w:pStyle w:val="Normal"/>
        <w:jc w:val="both"/>
        <w:rPr>
          <w:rFonts w:ascii="Arial Narrow" w:hAnsi="Arial Narrow" w:cs="Arial Narrow"/>
          <w:sz w:val="18"/>
        </w:rPr>
      </w:pPr>
      <w:r>
        <w:rPr>
          <w:rFonts w:cs="Arial Narrow" w:ascii="Arial Narrow" w:hAnsi="Arial Narrow"/>
          <w:sz w:val="18"/>
        </w:rPr>
        <w:t>Ba3 or lower</w:t>
        <w:tab/>
        <w:t xml:space="preserve">          $              0.00</w:t>
        <w:tab/>
        <w:t xml:space="preserve">                  $                0.00</w:t>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MIECO,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Foo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/mnt/main-storage/datasets/enron-docs/doc/2001_004ctr.doc</w:t>
      </w:r>
      <w:r>
        <w:rPr>
          <w:sz w:val="18"/>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Marubeni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the annual report of Marubeni Corporation containing consolidated financial statements for such fiscal year certified by independent certified public accountants and (ii) within 60 Days after the end of each of its first three fiscal quarters of each fiscal year, a copy of the quarterly report of marubeni Corporation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Mieco Inc.</w:t>
      </w:r>
    </w:p>
    <w:p>
      <w:pPr>
        <w:pStyle w:val="Normal"/>
        <w:jc w:val="both"/>
        <w:rPr>
          <w:rFonts w:ascii="Arial Narrow" w:hAnsi="Arial Narrow" w:cs="Arial Narrow"/>
          <w:sz w:val="18"/>
        </w:rPr>
      </w:pPr>
      <w:r>
        <w:rPr>
          <w:rFonts w:cs="Arial Narrow" w:ascii="Arial Narrow" w:hAnsi="Arial Narrow"/>
          <w:sz w:val="18"/>
        </w:rPr>
        <w:t>301 East Ocean Blvd., Suite 1100</w:t>
      </w:r>
    </w:p>
    <w:p>
      <w:pPr>
        <w:pStyle w:val="Normal"/>
        <w:jc w:val="both"/>
        <w:rPr>
          <w:rFonts w:ascii="Arial Narrow" w:hAnsi="Arial Narrow" w:cs="Arial Narrow"/>
          <w:sz w:val="18"/>
        </w:rPr>
      </w:pPr>
      <w:r>
        <w:rPr>
          <w:rFonts w:cs="Arial Narrow" w:ascii="Arial Narrow" w:hAnsi="Arial Narrow"/>
          <w:sz w:val="18"/>
        </w:rPr>
        <w:t>Long Beach, CA 90802-4832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301 East Ocean Blvd., Suite 1100</w:t>
      </w:r>
    </w:p>
    <w:p>
      <w:pPr>
        <w:pStyle w:val="Normal"/>
        <w:jc w:val="both"/>
        <w:rPr>
          <w:rFonts w:ascii="Arial Narrow" w:hAnsi="Arial Narrow" w:cs="Arial Narrow"/>
          <w:sz w:val="18"/>
        </w:rPr>
      </w:pPr>
      <w:r>
        <w:rPr>
          <w:rFonts w:cs="Arial Narrow" w:ascii="Arial Narrow" w:hAnsi="Arial Narrow"/>
          <w:sz w:val="18"/>
        </w:rPr>
        <w:t>Long Beach, CA 90802-4832</w:t>
      </w:r>
    </w:p>
    <w:p>
      <w:pPr>
        <w:pStyle w:val="Normal"/>
        <w:jc w:val="both"/>
        <w:rPr>
          <w:rFonts w:ascii="Arial Narrow" w:hAnsi="Arial Narrow" w:cs="Arial Narrow"/>
          <w:sz w:val="18"/>
        </w:rPr>
      </w:pPr>
      <w:r>
        <w:rPr>
          <w:rFonts w:cs="Arial Narrow" w:ascii="Arial Narrow" w:hAnsi="Arial Narrow"/>
          <w:sz w:val="18"/>
        </w:rPr>
        <w:t>Attn: Accounts Payable</w:t>
      </w:r>
    </w:p>
    <w:p>
      <w:pPr>
        <w:pStyle w:val="Normal"/>
        <w:jc w:val="both"/>
        <w:rPr>
          <w:rFonts w:ascii="Arial Narrow" w:hAnsi="Arial Narrow" w:cs="Arial Narrow"/>
          <w:sz w:val="18"/>
        </w:rPr>
      </w:pPr>
      <w:r>
        <w:rPr>
          <w:rFonts w:cs="Arial Narrow" w:ascii="Arial Narrow" w:hAnsi="Arial Narrow"/>
          <w:sz w:val="18"/>
        </w:rPr>
        <w:t>Facsimile No. (562) 495-2389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Bank of America NT &amp; SA</w:t>
      </w:r>
    </w:p>
    <w:p>
      <w:pPr>
        <w:pStyle w:val="Normal"/>
        <w:jc w:val="both"/>
        <w:rPr>
          <w:rFonts w:ascii="Arial Narrow" w:hAnsi="Arial Narrow" w:cs="Arial Narrow"/>
          <w:sz w:val="18"/>
        </w:rPr>
      </w:pPr>
      <w:r>
        <w:rPr>
          <w:rFonts w:cs="Arial Narrow" w:ascii="Arial Narrow" w:hAnsi="Arial Narrow"/>
          <w:sz w:val="18"/>
        </w:rPr>
        <w:t>ABA No. 121000358</w:t>
      </w:r>
    </w:p>
    <w:p>
      <w:pPr>
        <w:pStyle w:val="Normal"/>
        <w:jc w:val="both"/>
        <w:rPr>
          <w:rFonts w:ascii="Arial Narrow" w:hAnsi="Arial Narrow" w:cs="Arial Narrow"/>
          <w:sz w:val="18"/>
        </w:rPr>
      </w:pPr>
      <w:r>
        <w:rPr>
          <w:rFonts w:cs="Arial Narrow" w:ascii="Arial Narrow" w:hAnsi="Arial Narrow"/>
          <w:sz w:val="18"/>
        </w:rPr>
        <w:t>For Credit to MIECO Inc.</w:t>
      </w:r>
    </w:p>
    <w:p>
      <w:pPr>
        <w:pStyle w:val="Normal"/>
        <w:jc w:val="both"/>
        <w:rPr>
          <w:rFonts w:ascii="Arial Narrow" w:hAnsi="Arial Narrow" w:cs="Arial Narrow"/>
          <w:sz w:val="18"/>
        </w:rPr>
      </w:pPr>
      <w:r>
        <w:rPr>
          <w:rFonts w:cs="Arial Narrow" w:ascii="Arial Narrow" w:hAnsi="Arial Narrow"/>
          <w:sz w:val="18"/>
        </w:rPr>
        <w:t>Account No. 12573-54052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t>16945 Northchase Drive, Suite 1640</w:t>
      </w:r>
    </w:p>
    <w:p>
      <w:pPr>
        <w:pStyle w:val="Normal"/>
        <w:rPr>
          <w:rFonts w:ascii="Arial Narrow" w:hAnsi="Arial Narrow" w:cs="Arial Narrow"/>
          <w:sz w:val="18"/>
        </w:rPr>
      </w:pPr>
      <w:r>
        <w:rPr>
          <w:rFonts w:cs="Arial Narrow" w:ascii="Arial Narrow" w:hAnsi="Arial Narrow"/>
          <w:sz w:val="18"/>
        </w:rPr>
        <w:t>Houston, TX 77060</w:t>
      </w:r>
    </w:p>
    <w:p>
      <w:pPr>
        <w:pStyle w:val="Normal"/>
        <w:rPr>
          <w:rFonts w:ascii="Arial Narrow" w:hAnsi="Arial Narrow" w:cs="Arial Narrow"/>
          <w:sz w:val="18"/>
        </w:rPr>
      </w:pPr>
      <w:r>
        <w:rPr>
          <w:rFonts w:cs="Arial Narrow" w:ascii="Arial Narrow" w:hAnsi="Arial Narrow"/>
          <w:sz w:val="18"/>
        </w:rPr>
        <w:t>Attn: Contract Administration</w:t>
      </w:r>
    </w:p>
    <w:p>
      <w:pPr>
        <w:pStyle w:val="Normal"/>
        <w:rPr>
          <w:rFonts w:ascii="Arial Narrow" w:hAnsi="Arial Narrow" w:cs="Arial Narrow"/>
          <w:sz w:val="18"/>
        </w:rPr>
      </w:pPr>
      <w:r>
        <w:rPr>
          <w:rFonts w:cs="Arial Narrow" w:ascii="Arial Narrow" w:hAnsi="Arial Narrow"/>
          <w:sz w:val="18"/>
        </w:rPr>
        <w:t>Facsimile No. (281) 885-5656</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2001-03-02T11:14:00Z</dcterms:created>
  <dc:creator>dperlin</dc:creator>
  <dc:description/>
  <dc:language>en-CA</dc:language>
  <cp:lastModifiedBy>dhyvl</cp:lastModifiedBy>
  <cp:lastPrinted>2001-02-07T13:17:00Z</cp:lastPrinted>
  <dcterms:modified xsi:type="dcterms:W3CDTF">2001-03-02T11:14:00Z</dcterms:modified>
  <cp:revision>2</cp:revision>
  <dc:subject/>
  <dc:title>ENFOLIO® MASTER FIRM PURCHASE/SALE AGREEMENT</dc:title>
</cp:coreProperties>
</file>