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Mieco, Inc.,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Marubeni Corporation shall have defaulted on its indebted</w:t>
        <w:softHyphen/>
        <w:t xml:space="preserve">ness to third parties, resulting in an acceleration of obligations of Marubeni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In order to secure all payment obligations of Company to Customer hereunder, Enron Corp. has executed and delivered to Customer a guaranty agreement dated July 1, 1997.  In order to secure all payment obligations of Customer to Company hereunder, Marubeni Corporation has executed and delivered to Company a guaranty agreement dated January 2, 2000.</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Customer's Collateral Threshold shall be determined based on the Standard and Poors (“S&amp;P”) / Moody’s (“Moody”) Credit Rating of Marubeni Corporation and Company's Collateral Threshold shall be determined based on the S&amp;P / Moody Credit Rating of Enron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S&amp;P / Moody</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BBB+ / Baa1 or above         $5,000,000.00</w:t>
        <w:tab/>
        <w:tab/>
        <w:t>$10,000,000.00</w:t>
      </w:r>
    </w:p>
    <w:p>
      <w:pPr>
        <w:pStyle w:val="Normal"/>
        <w:jc w:val="both"/>
        <w:rPr>
          <w:rFonts w:ascii="Arial Narrow" w:hAnsi="Arial Narrow" w:cs="Arial Narrow"/>
          <w:sz w:val="18"/>
        </w:rPr>
      </w:pPr>
      <w:r>
        <w:rPr>
          <w:rFonts w:cs="Arial Narrow" w:ascii="Arial Narrow" w:hAnsi="Arial Narrow"/>
          <w:sz w:val="18"/>
        </w:rPr>
        <w:t>BBB  / Baa2</w:t>
        <w:tab/>
        <w:t xml:space="preserve">          $4,000,000.00</w:t>
        <w:tab/>
        <w:tab/>
        <w:t>$10,000,000.00</w:t>
      </w:r>
    </w:p>
    <w:p>
      <w:pPr>
        <w:pStyle w:val="Normal"/>
        <w:jc w:val="both"/>
        <w:rPr>
          <w:rFonts w:ascii="Arial Narrow" w:hAnsi="Arial Narrow" w:cs="Arial Narrow"/>
          <w:sz w:val="18"/>
        </w:rPr>
      </w:pPr>
      <w:r>
        <w:rPr>
          <w:rFonts w:cs="Arial Narrow" w:ascii="Arial Narrow" w:hAnsi="Arial Narrow"/>
          <w:sz w:val="18"/>
        </w:rPr>
        <w:t>BBB- / Baa3</w:t>
        <w:tab/>
        <w:t xml:space="preserve">          $3,000,000.00</w:t>
        <w:tab/>
        <w:tab/>
        <w:t>$10,000,000.00</w:t>
      </w:r>
    </w:p>
    <w:p>
      <w:pPr>
        <w:pStyle w:val="Normal"/>
        <w:jc w:val="both"/>
        <w:rPr>
          <w:rFonts w:ascii="Arial Narrow" w:hAnsi="Arial Narrow" w:cs="Arial Narrow"/>
          <w:sz w:val="18"/>
        </w:rPr>
      </w:pPr>
      <w:r>
        <w:rPr>
          <w:rFonts w:cs="Arial Narrow" w:ascii="Arial Narrow" w:hAnsi="Arial Narrow"/>
          <w:sz w:val="18"/>
        </w:rPr>
        <w:t>BB+ / Ba1</w:t>
        <w:tab/>
        <w:tab/>
        <w:t xml:space="preserve">          $1,500,000.00</w:t>
        <w:tab/>
        <w:tab/>
        <w:t>$  7,000,000.00</w:t>
      </w:r>
    </w:p>
    <w:p>
      <w:pPr>
        <w:pStyle w:val="Normal"/>
        <w:jc w:val="both"/>
        <w:rPr>
          <w:rFonts w:ascii="Arial Narrow" w:hAnsi="Arial Narrow" w:cs="Arial Narrow"/>
          <w:sz w:val="18"/>
        </w:rPr>
      </w:pPr>
      <w:r>
        <w:rPr>
          <w:rFonts w:cs="Arial Narrow" w:ascii="Arial Narrow" w:hAnsi="Arial Narrow"/>
          <w:sz w:val="18"/>
        </w:rPr>
        <w:t>BB  / Ba2</w:t>
        <w:tab/>
        <w:tab/>
        <w:t xml:space="preserve">          $1,000,000.00</w:t>
        <w:tab/>
        <w:tab/>
        <w:t>$  5,000,000.00</w:t>
      </w:r>
    </w:p>
    <w:p>
      <w:pPr>
        <w:pStyle w:val="Normal"/>
        <w:jc w:val="both"/>
        <w:rPr>
          <w:rFonts w:ascii="Arial Narrow" w:hAnsi="Arial Narrow" w:cs="Arial Narrow"/>
          <w:sz w:val="18"/>
        </w:rPr>
      </w:pPr>
      <w:r>
        <w:rPr>
          <w:rFonts w:cs="Arial Narrow" w:ascii="Arial Narrow" w:hAnsi="Arial Narrow"/>
          <w:sz w:val="18"/>
        </w:rPr>
        <w:t>BB- / Ba3 or lower</w:t>
        <w:tab/>
        <w:t xml:space="preserve">          $              0.00</w:t>
        <w:tab/>
        <w:t xml:space="preserve">                  $                0.00</w:t>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MIECO,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Foo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/mnt/main-storage/datasets/enron-docs/doc/2001_004ctr-d345523b4996be768b8b574fb919fdabb8089a6994c12c691f5561e47e2ec28b.doc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Marubeni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the annual report of Marubeni Corporation containing consolidated financial statements for such fiscal year certified by independent certified public accountants and (ii) within 60 Days after the end of each of its first three fiscal quarters of each fiscal year, a copy of the quarterly report of marubeni Corporation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Mieco, Inc.</w:t>
      </w:r>
    </w:p>
    <w:p>
      <w:pPr>
        <w:pStyle w:val="Normal"/>
        <w:jc w:val="both"/>
        <w:rPr>
          <w:rFonts w:ascii="Arial Narrow" w:hAnsi="Arial Narrow" w:cs="Arial Narrow"/>
          <w:sz w:val="18"/>
        </w:rPr>
      </w:pPr>
      <w:r>
        <w:rPr>
          <w:rFonts w:cs="Arial Narrow" w:ascii="Arial Narrow" w:hAnsi="Arial Narrow"/>
          <w:sz w:val="18"/>
        </w:rPr>
        <w:t>301 East Ocean Bl., Suite 1100</w:t>
      </w:r>
    </w:p>
    <w:p>
      <w:pPr>
        <w:pStyle w:val="Normal"/>
        <w:jc w:val="both"/>
        <w:rPr>
          <w:rFonts w:ascii="Arial Narrow" w:hAnsi="Arial Narrow" w:cs="Arial Narrow"/>
          <w:sz w:val="18"/>
        </w:rPr>
      </w:pPr>
      <w:r>
        <w:rPr>
          <w:rFonts w:cs="Arial Narrow" w:ascii="Arial Narrow" w:hAnsi="Arial Narrow"/>
          <w:sz w:val="18"/>
        </w:rPr>
        <w:t>Long Beach, CA 90802-4832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2001-03-01T12:04:00Z</dcterms:created>
  <dc:creator>dperlin</dc:creator>
  <dc:description/>
  <dc:language>en-CA</dc:language>
  <cp:lastModifiedBy>dhyvl</cp:lastModifiedBy>
  <cp:lastPrinted>2001-02-07T13:17:00Z</cp:lastPrinted>
  <dcterms:modified xsi:type="dcterms:W3CDTF">2001-03-01T12:35:00Z</dcterms:modified>
  <cp:revision>3</cp:revision>
  <dc:subject/>
  <dc:title>ENFOLIO® MASTER FIRM PURCHASE/SALE AGREEMENT</dc:title>
</cp:coreProperties>
</file>