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17, 2001</w:t>
      </w:r>
    </w:p>
    <w:p>
      <w:pPr>
        <w:pStyle w:val="Normal"/>
        <w:rPr/>
      </w:pPr>
      <w:r>
        <w:rPr/>
      </w:r>
    </w:p>
    <w:p>
      <w:pPr>
        <w:pStyle w:val="Normal"/>
        <w:rPr/>
      </w:pPr>
      <w:r>
        <w:rPr/>
      </w:r>
    </w:p>
    <w:p>
      <w:pPr>
        <w:pStyle w:val="Normal"/>
        <w:rPr/>
      </w:pPr>
      <w:r>
        <w:rPr/>
        <w:t>JER / BRE Austin Tech, L.P.</w:t>
      </w:r>
    </w:p>
    <w:p>
      <w:pPr>
        <w:pStyle w:val="Normal"/>
        <w:rPr/>
      </w:pPr>
      <w:r>
        <w:rPr/>
        <w:t>P. O. Box 81484</w:t>
      </w:r>
    </w:p>
    <w:p>
      <w:pPr>
        <w:pStyle w:val="Normal"/>
        <w:rPr/>
      </w:pPr>
      <w:r>
        <w:rPr/>
        <w:t>Austin, Texas 78708-1484</w:t>
      </w:r>
    </w:p>
    <w:p>
      <w:pPr>
        <w:pStyle w:val="Normal"/>
        <w:rPr/>
      </w:pPr>
      <w:r>
        <w:rPr/>
      </w:r>
    </w:p>
    <w:p>
      <w:pPr>
        <w:pStyle w:val="Normal"/>
        <w:rPr/>
      </w:pPr>
      <w:r>
        <w:rPr/>
        <w:t>Mr. Bill Thompson</w:t>
      </w:r>
    </w:p>
    <w:p>
      <w:pPr>
        <w:pStyle w:val="Normal"/>
        <w:rPr/>
      </w:pPr>
      <w:r>
        <w:rPr/>
        <w:t xml:space="preserve">Fowler Energy Company </w:t>
      </w:r>
    </w:p>
    <w:p>
      <w:pPr>
        <w:pStyle w:val="Normal"/>
        <w:rPr/>
      </w:pPr>
      <w:r>
        <w:rPr/>
        <w:t>4520 Spicewood Springs Road</w:t>
      </w:r>
    </w:p>
    <w:p>
      <w:pPr>
        <w:pStyle w:val="Normal"/>
        <w:rPr/>
      </w:pPr>
      <w:r>
        <w:rPr/>
        <w:t>Austin, Texas  78759</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JER / BRE Austin Tech, L.P.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p>
            <w:pPr>
              <w:pStyle w:val="Normal"/>
              <w:rPr>
                <w:b/>
              </w:rPr>
            </w:pPr>
            <w:r>
              <w:rPr>
                <w:b/>
              </w:rPr>
            </w:r>
          </w:p>
          <w:p>
            <w:pPr>
              <w:pStyle w:val="Normal"/>
              <w:rPr>
                <w:b/>
              </w:rPr>
            </w:pPr>
            <w:r>
              <w:rPr>
                <w:b/>
              </w:rPr>
              <w:t>DAILY CONTRACT QUANTITY (“DCQ”)</w:t>
            </w:r>
          </w:p>
        </w:tc>
        <w:tc>
          <w:tcPr>
            <w:tcW w:w="6570" w:type="dxa"/>
            <w:tcBorders/>
          </w:tcPr>
          <w:p>
            <w:pPr>
              <w:pStyle w:val="BlockText"/>
              <w:snapToGrid w:val="false"/>
              <w:ind w:end="144"/>
              <w:rPr>
                <w:b/>
              </w:rPr>
            </w:pPr>
            <w:r>
              <w:rPr>
                <w:b/>
              </w:rPr>
            </w:r>
          </w:p>
          <w:p>
            <w:pPr>
              <w:pStyle w:val="BlockText"/>
              <w:ind w:end="144"/>
              <w:rPr/>
            </w:pPr>
            <w:r>
              <w:rPr/>
              <w:t>600 MMBtu per Day.</w:t>
            </w:r>
          </w:p>
          <w:p>
            <w:pPr>
              <w:pStyle w:val="Normal"/>
              <w:ind w:start="-108" w:end="-144"/>
              <w:rPr/>
            </w:pPr>
            <w:r>
              <w:rPr/>
            </w:r>
          </w:p>
          <w:p>
            <w:pPr>
              <w:pStyle w:val="Normal"/>
              <w:ind w:start="-108" w:end="-144"/>
              <w:rPr/>
            </w:pPr>
            <w:r>
              <w:rPr/>
            </w:r>
          </w:p>
          <w:p>
            <w:pPr>
              <w:pStyle w:val="Normal"/>
              <w:ind w:start="-108" w:end="-144"/>
              <w:rPr/>
            </w:pPr>
            <w:r>
              <w:rPr/>
              <w:t xml:space="preserve">1,500 MMBtu per Day. </w:t>
            </w:r>
          </w:p>
          <w:p>
            <w:pPr>
              <w:pStyle w:val="Normal"/>
              <w:ind w:start="-108" w:end="-144"/>
              <w:rPr/>
            </w:pPr>
            <w:r>
              <w:rPr/>
            </w:r>
          </w:p>
          <w:p>
            <w:pPr>
              <w:pStyle w:val="Normal"/>
              <w:ind w:start="-108" w:end="162"/>
              <w:jc w:val="both"/>
              <w:rPr/>
            </w:pPr>
            <w:r>
              <w:rPr/>
              <w:t>Customer shall nominate a quantity between the MinDQ and the MaxDQ to Company not less than five (5) Business Days prior to the beginning of a Month and once nominated such nominated quantity shall be the DCQ to be purchased and received by Customer each Day during the ensuing Month.</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Colorado River Station meter #8663.</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all volumes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$0.045 per MMBtu</w:t>
            </w:r>
          </w:p>
          <w:p>
            <w:pPr>
              <w:pStyle w:val="Normal"/>
              <w:ind w:start="-108" w:end="144"/>
              <w:jc w:val="both"/>
              <w:rPr/>
            </w:pPr>
            <w:r>
              <w:rPr/>
              <w:t>2)  If the Index Price is less than $3.50 during the month, Customer shall pay Company the difference between $3.50 and the Index Price times 1,000 times the number of days in the month.</w:t>
            </w:r>
          </w:p>
          <w:p>
            <w:pPr>
              <w:pStyle w:val="Normal"/>
              <w:ind w:start="-108" w:end="144"/>
              <w:jc w:val="both"/>
              <w:rPr/>
            </w:pPr>
            <w:r>
              <w:rPr/>
              <w:t>3)  Each month during the Period of Delivery, Company shall pay or credit to Customer an amount equal to $0.09 times 1,000 times the number of days during the month.</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December 1, 2000 through November 30, 2001.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BodyTextIndent"/>
        <w:rPr/>
      </w:pPr>
      <w:r>
        <w:rPr/>
        <w:t>HOUSTON PIPE LINE COMPANY</w:t>
        <w:tab/>
        <w:t>JER / BRE AUSTIN TECH, L.P., a limited partnership</w:t>
      </w:r>
    </w:p>
    <w:p>
      <w:pPr>
        <w:pStyle w:val="Normal"/>
        <w:ind w:hanging="720" w:start="5760" w:end="0"/>
        <w:rPr>
          <w:b/>
        </w:rPr>
      </w:pPr>
      <w:r>
        <w:rPr>
          <w:b/>
        </w:rPr>
        <w:t>By:</w:t>
        <w:tab/>
        <w:t xml:space="preserve">J. E. ROBERT COMPANIES, </w:t>
      </w:r>
    </w:p>
    <w:p>
      <w:pPr>
        <w:pStyle w:val="Normal"/>
        <w:ind w:start="5760" w:end="0"/>
        <w:rPr>
          <w:b/>
        </w:rPr>
      </w:pPr>
      <w:r>
        <w:rPr>
          <w:b/>
        </w:rPr>
        <w:t>its general partner</w:t>
      </w:r>
    </w:p>
    <w:p>
      <w:pPr>
        <w:pStyle w:val="Normal"/>
        <w:rPr>
          <w:b/>
        </w:rPr>
      </w:pPr>
      <w:r>
        <w:rPr>
          <w:b/>
        </w:rPr>
      </w:r>
    </w:p>
    <w:p>
      <w:pPr>
        <w:pStyle w:val="Normal"/>
        <w:rPr>
          <w:b/>
        </w:rPr>
      </w:pPr>
      <w:r>
        <w:rPr>
          <w:b/>
        </w:rPr>
      </w:r>
    </w:p>
    <w:p>
      <w:pPr>
        <w:pStyle w:val="Normal"/>
        <w:rPr/>
      </w:pPr>
      <w:r>
        <w:rPr/>
        <w:t>By:____________________________________</w:t>
        <w:tab/>
        <w:tab/>
        <w:tab/>
        <w:t>By: _____________________________</w:t>
        <w:tab/>
      </w:r>
    </w:p>
    <w:p>
      <w:pPr>
        <w:pStyle w:val="Normal"/>
        <w:rPr/>
      </w:pPr>
      <w:r>
        <w:rPr/>
        <w:t>Signature</w:t>
        <w:tab/>
        <w:tab/>
        <w:tab/>
        <w:tab/>
        <w:tab/>
        <w:tab/>
        <w:tab/>
        <w:t>Signature</w:t>
      </w:r>
    </w:p>
    <w:p>
      <w:pPr>
        <w:pStyle w:val="Normal"/>
        <w:rPr/>
      </w:pPr>
      <w:r>
        <w:rPr/>
        <w:t xml:space="preserve">Printed </w:t>
        <w:tab/>
        <w:tab/>
        <w:tab/>
        <w:tab/>
        <w:tab/>
        <w:tab/>
        <w:tab/>
        <w:tab/>
        <w:t>Printed</w:t>
      </w:r>
    </w:p>
    <w:p>
      <w:pPr>
        <w:pStyle w:val="Normal"/>
        <w:rPr/>
      </w:pPr>
      <w:r>
        <w:rPr/>
        <w:t>Name</w:t>
      </w:r>
      <w:r>
        <w:rPr>
          <w:u w:val="single"/>
        </w:rPr>
        <w:tab/>
        <w:tab/>
        <w:tab/>
        <w:tab/>
        <w:tab/>
        <w:tab/>
      </w:r>
      <w:r>
        <w:rPr/>
        <w:tab/>
        <w:tab/>
        <w:t>Name</w:t>
      </w:r>
      <w:r>
        <w:rPr>
          <w:u w:val="single"/>
        </w:rPr>
        <w:tab/>
        <w:tab/>
        <w:tab/>
        <w:tab/>
        <w:tab/>
      </w:r>
    </w:p>
    <w:p>
      <w:pPr>
        <w:pStyle w:val="Normal"/>
        <w:rPr/>
      </w:pPr>
      <w:r>
        <w:rPr/>
      </w:r>
    </w:p>
    <w:p>
      <w:pPr>
        <w:pStyle w:val="Normal"/>
        <w:rPr/>
      </w:pPr>
      <w:r>
        <w:rPr/>
        <w:t>Title</w:t>
      </w:r>
      <w:r>
        <w:rPr>
          <w:u w:val="single"/>
        </w:rPr>
        <w:tab/>
        <w:tab/>
        <w:tab/>
        <w:tab/>
        <w:tab/>
        <w:tab/>
      </w:r>
      <w:r>
        <w:rPr/>
        <w:tab/>
        <w:tab/>
        <w:t>Title</w:t>
      </w:r>
      <w:r>
        <w:rPr>
          <w:u w:val="single"/>
        </w:rPr>
        <w:tab/>
        <w:tab/>
        <w:tab/>
        <w:tab/>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Customer shall at Company’s request either (i) within one Business Day of such request by Company, provide to Company a letter of credit in respect of Customer’s obligations under any Transaction, in such form and for such amount and from such issuer, as is acceptable to Company in its sole and absolute discretion; or (ii) within such period as is specified by Company, provide for the benefit of Company a parent company guarantee in such form and for such amount as is acceptable to Company in its sole and absolute discretion.  Failure to provide such letter of credit or parent company guarantee shall constitute a Triggering Event hereunder giving rise to the immediate right of termination by Company under this Firm GTC.</w:t>
      </w:r>
    </w:p>
    <w:p>
      <w:pPr>
        <w:pStyle w:val="Normal"/>
        <w:jc w:val="both"/>
        <w:rPr>
          <w:rFonts w:ascii="Arial Narrow" w:hAnsi="Arial Narrow" w:cs="Arial Narrow"/>
          <w:bCs/>
          <w:sz w:val="18"/>
        </w:rPr>
      </w:pPr>
      <w:r>
        <w:rPr>
          <w:rFonts w:cs="Arial Narrow" w:ascii="Arial Narrow" w:hAnsi="Arial Narrow"/>
          <w:b/>
          <w:sz w:val="18"/>
          <w:u w:val="single"/>
        </w:rPr>
        <w:t>13.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2"/>
        </w:rPr>
      </w:pPr>
      <w:r>
        <w:rPr>
          <w:rFonts w:cs="Arial Narrow" w:ascii="Arial Narrow" w:hAnsi="Arial Narrow"/>
          <w:sz w:val="12"/>
        </w:rPr>
        <w:t>[</w:t>
      </w:r>
      <w:r>
        <w:rPr>
          <w:sz w:val="12"/>
        </w:rPr>
        <w:fldChar w:fldCharType="begin"/>
      </w:r>
      <w:r>
        <w:rPr>
          <w:sz w:val="12"/>
        </w:rPr>
        <w:instrText xml:space="preserve"> FILENAME \p </w:instrText>
      </w:r>
      <w:r>
        <w:rPr>
          <w:sz w:val="12"/>
        </w:rPr>
        <w:fldChar w:fldCharType="separate"/>
      </w:r>
      <w:r>
        <w:rPr>
          <w:sz w:val="12"/>
        </w:rPr>
        <w:t>/mnt/main-storage/datasets/enron-docs/doc/2001_004crfm.doc</w:t>
      </w:r>
      <w:r>
        <w:rPr>
          <w:sz w:val="12"/>
        </w:rPr>
        <w:fldChar w:fldCharType="end"/>
      </w:r>
      <w:r>
        <w:rPr>
          <w:sz w:val="12"/>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/mnt/main-storage/datasets/enron-docs/doc/2001_004crfm.doc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/mnt/main-storage/datasets/enron-docs/doc/2001_004crfm.doc</w:t>
    </w:r>
    <w:r>
      <w:rPr>
        <w:sz w:val="12"/>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/mnt/main-storage/datasets/enron-docs/doc/2001_004crfm.doc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/mnt/main-storage/datasets/enron-docs/doc/2001_004crfm.doc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JER /BRE Austin Tech, L.P.</w:t>
    </w:r>
  </w:p>
  <w:p>
    <w:pPr>
      <w:pStyle w:val="Header"/>
      <w:rPr>
        <w:rFonts w:ascii="Times New Roman" w:hAnsi="Times New Roman" w:cs="Times New Roman"/>
        <w:sz w:val="22"/>
      </w:rPr>
    </w:pPr>
    <w:r>
      <w:rPr>
        <w:rFonts w:cs="Times New Roman" w:ascii="Times New Roman" w:hAnsi="Times New Roman"/>
        <w:sz w:val="22"/>
      </w:rPr>
      <w:t>Mr. Bill Thompson</w:t>
    </w:r>
  </w:p>
  <w:p>
    <w:pPr>
      <w:pStyle w:val="Header"/>
      <w:rPr>
        <w:rFonts w:ascii="Times New Roman" w:hAnsi="Times New Roman" w:cs="Times New Roman"/>
        <w:sz w:val="22"/>
      </w:rPr>
    </w:pPr>
    <w:r>
      <w:rPr>
        <w:rFonts w:cs="Times New Roman" w:ascii="Times New Roman" w:hAnsi="Times New Roman"/>
        <w:sz w:val="22"/>
      </w:rPr>
      <w:t>January 17,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2</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64584193"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JER /BRE Austin Tech, L.P.</w:t>
    </w:r>
  </w:p>
  <w:p>
    <w:pPr>
      <w:pStyle w:val="Header"/>
      <w:rPr>
        <w:rFonts w:ascii="Times New Roman" w:hAnsi="Times New Roman" w:cs="Times New Roman"/>
        <w:sz w:val="22"/>
      </w:rPr>
    </w:pPr>
    <w:r>
      <w:rPr>
        <w:rFonts w:cs="Times New Roman" w:ascii="Times New Roman" w:hAnsi="Times New Roman"/>
        <w:sz w:val="22"/>
      </w:rPr>
      <w:t>Mr. Bill Thompson</w:t>
    </w:r>
  </w:p>
  <w:p>
    <w:pPr>
      <w:pStyle w:val="Header"/>
      <w:rPr>
        <w:rFonts w:ascii="Times New Roman" w:hAnsi="Times New Roman" w:cs="Times New Roman"/>
        <w:sz w:val="22"/>
      </w:rPr>
    </w:pPr>
    <w:r>
      <w:rPr>
        <w:rFonts w:cs="Times New Roman" w:ascii="Times New Roman" w:hAnsi="Times New Roman"/>
        <w:sz w:val="22"/>
      </w:rPr>
      <w:t>January 17, 2001</w:t>
    </w:r>
  </w:p>
  <w:p>
    <w:pPr>
      <w:pStyle w:val="Header"/>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17312274"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BodyTextIndent">
    <w:name w:val="Body Text Indent"/>
    <w:basedOn w:val="Normal"/>
    <w:pPr>
      <w:ind w:hanging="5040" w:start="5040"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2001-01-10T14:47:00Z</dcterms:created>
  <dc:creator>Daniel J. Hyvl</dc:creator>
  <dc:description/>
  <dc:language>en-CA</dc:language>
  <cp:lastModifiedBy>dhyvl</cp:lastModifiedBy>
  <cp:lastPrinted>2001-01-17T14:53:00Z</cp:lastPrinted>
  <dcterms:modified xsi:type="dcterms:W3CDTF">2001-01-17T18:23:00Z</dcterms:modified>
  <cp:revision>13</cp:revision>
  <dc:subject/>
  <dc:title>December 15, 1999</dc:title>
</cp:coreProperties>
</file>