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9, 2001</w:t>
      </w:r>
    </w:p>
    <w:p>
      <w:pPr>
        <w:pStyle w:val="Normal"/>
        <w:rPr/>
      </w:pPr>
      <w:r>
        <w:rPr/>
      </w:r>
    </w:p>
    <w:p>
      <w:pPr>
        <w:pStyle w:val="Normal"/>
        <w:rPr/>
      </w:pPr>
      <w:r>
        <w:rPr/>
        <w:t>Akzo Nobel, Inc.</w:t>
      </w:r>
    </w:p>
    <w:p>
      <w:pPr>
        <w:pStyle w:val="Normal"/>
        <w:rPr/>
      </w:pPr>
      <w:r>
        <w:rPr/>
        <w:t>Attn:  Mr. Bob Nelson</w:t>
      </w:r>
    </w:p>
    <w:p>
      <w:pPr>
        <w:pStyle w:val="Normal"/>
        <w:rPr/>
      </w:pPr>
      <w:r>
        <w:rPr/>
        <w:t>1900 Baypark Rd.</w:t>
      </w:r>
    </w:p>
    <w:p>
      <w:pPr>
        <w:pStyle w:val="Normal"/>
        <w:rPr/>
      </w:pPr>
      <w:r>
        <w:rPr/>
        <w:t>Pasadena, TX  77507</w:t>
      </w:r>
    </w:p>
    <w:p>
      <w:pPr>
        <w:pStyle w:val="Normal"/>
        <w:rPr/>
      </w:pPr>
      <w:r>
        <w:rPr/>
      </w:r>
    </w:p>
    <w:p>
      <w:pPr>
        <w:pStyle w:val="Normal"/>
        <w:rPr/>
      </w:pPr>
      <w:r>
        <w:rPr/>
        <w:t>Fax:  281/474-0351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Akzo Nobel, Inc.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under the following terms and conditions.  between Customer and Company.  Customer to purchase and receive and Company to sell and deliver.</w:t>
      </w:r>
    </w:p>
    <w:p>
      <w:pPr>
        <w:pStyle w:val="Normal"/>
        <w:rPr/>
      </w:pPr>
      <w:r>
        <w:rPr/>
      </w:r>
    </w:p>
    <w:tbl>
      <w:tblPr>
        <w:tblW w:w="9504" w:type="dxa"/>
        <w:jc w:val="start"/>
        <w:tblInd w:w="0" w:type="dxa"/>
        <w:tblLayout w:type="fixed"/>
        <w:tblCellMar>
          <w:top w:w="0" w:type="dxa"/>
          <w:start w:w="108" w:type="dxa"/>
          <w:bottom w:w="0" w:type="dxa"/>
          <w:end w:w="108" w:type="dxa"/>
        </w:tblCellMar>
      </w:tblPr>
      <w:tblGrid>
        <w:gridCol w:w="3600"/>
        <w:gridCol w:w="5904"/>
      </w:tblGrid>
      <w:tr>
        <w:trPr/>
        <w:tc>
          <w:tcPr>
            <w:tcW w:w="3600" w:type="dxa"/>
            <w:tcBorders/>
          </w:tcPr>
          <w:p>
            <w:pPr>
              <w:pStyle w:val="Normal"/>
              <w:rPr>
                <w:b/>
              </w:rPr>
            </w:pPr>
            <w:r>
              <w:rPr>
                <w:b/>
              </w:rPr>
              <w:t>MAXDQ:</w:t>
            </w:r>
          </w:p>
        </w:tc>
        <w:tc>
          <w:tcPr>
            <w:tcW w:w="5904" w:type="dxa"/>
            <w:tcBorders/>
          </w:tcPr>
          <w:p>
            <w:pPr>
              <w:pStyle w:val="Normal"/>
              <w:rPr/>
            </w:pPr>
            <w:r>
              <w:rPr/>
              <w:t>3,000 MMBtu/Day</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MINDQ:</w:t>
            </w:r>
          </w:p>
        </w:tc>
        <w:tc>
          <w:tcPr>
            <w:tcW w:w="5904" w:type="dxa"/>
            <w:tcBorders/>
          </w:tcPr>
          <w:p>
            <w:pPr>
              <w:pStyle w:val="Normal"/>
              <w:jc w:val="both"/>
              <w:rPr/>
            </w:pPr>
            <w:r>
              <w:rPr/>
              <w:t>100% of the total quantity of Gas required by Buyer to meet its operating needs at Buyer’s factory in Vernon, California (“</w:t>
            </w:r>
            <w:r>
              <w:rPr>
                <w:u w:val="single"/>
              </w:rPr>
              <w:t>Buyer’s Requirements Quantity</w:t>
            </w:r>
            <w:r>
              <w:rPr/>
              <w:t>”)</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DELIVERY POINTS:</w:t>
            </w:r>
          </w:p>
        </w:tc>
        <w:tc>
          <w:tcPr>
            <w:tcW w:w="5904" w:type="dxa"/>
            <w:tcBorders/>
          </w:tcPr>
          <w:p>
            <w:pPr>
              <w:pStyle w:val="Normal"/>
              <w:jc w:val="both"/>
              <w:rPr/>
            </w:pPr>
            <w:r>
              <w:rPr/>
              <w:t>The interconnect between the Southern California Gas Company (“</w:t>
            </w:r>
            <w:r>
              <w:rPr>
                <w:u w:val="single"/>
              </w:rPr>
              <w:t>SoCalGas</w:t>
            </w:r>
            <w:r>
              <w:rPr/>
              <w:t>”) system and any of the following pipelines as specified by Seller prior to delivery:  El Paso Natural Gas Company, Kern River Gas Transmission (“</w:t>
            </w:r>
            <w:r>
              <w:rPr>
                <w:u w:val="single"/>
              </w:rPr>
              <w:t>Kern River</w:t>
            </w:r>
            <w:r>
              <w:rPr/>
              <w:t>”) Pacific Gas &amp; Electric Company (“</w:t>
            </w:r>
            <w:r>
              <w:rPr>
                <w:u w:val="single"/>
              </w:rPr>
              <w:t>PG&amp;E</w:t>
            </w:r>
            <w:r>
              <w:rPr/>
              <w:t>”) or Transwestern Pipeline Co.</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CONTRACT PRICE (per MMBtu):</w:t>
            </w:r>
          </w:p>
        </w:tc>
        <w:tc>
          <w:tcPr>
            <w:tcW w:w="5904" w:type="dxa"/>
            <w:tcBorders/>
          </w:tcPr>
          <w:p>
            <w:pPr>
              <w:pStyle w:val="Normal"/>
              <w:jc w:val="both"/>
              <w:rPr/>
            </w:pPr>
            <w:r>
              <w:rPr/>
              <w:t xml:space="preserve">The Contract Price for Buyer’s Requirements Quantity shall be the index price posted in </w:t>
            </w:r>
            <w:r>
              <w:rPr>
                <w:u w:val="single"/>
              </w:rPr>
              <w:t>Natural Gas Intelligence</w:t>
            </w:r>
            <w:r>
              <w:rPr/>
              <w:t xml:space="preserve"> Gas Price Index, as published in the first issue of the delivery month, in the table titled "California," on the line titled Southern Cal Border Avg. (the “Index Price” herein), </w:t>
            </w:r>
            <w:r>
              <w:rPr>
                <w:b/>
                <w:u w:val="single"/>
              </w:rPr>
              <w:t>plus</w:t>
            </w:r>
            <w:r>
              <w:rPr>
                <w:b/>
              </w:rPr>
              <w:t xml:space="preserve"> </w:t>
            </w:r>
            <w:r>
              <w:rPr/>
              <w:t>$0.05/MMBtu.  Buyer and Seller may upon mutual agreement and pursuant to a signed Transaction Agreement convert the above noted indexed price to a fixed price.</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PERIOD OF DELIVERY:</w:t>
            </w:r>
          </w:p>
        </w:tc>
        <w:tc>
          <w:tcPr>
            <w:tcW w:w="5904" w:type="dxa"/>
            <w:tcBorders/>
          </w:tcPr>
          <w:p>
            <w:pPr>
              <w:pStyle w:val="Normal"/>
              <w:jc w:val="both"/>
              <w:rPr/>
            </w:pPr>
            <w:r>
              <w:rPr/>
              <w:t>February 1, 2001 through July 31, 2001; provided, however, that so long as Buyer has not converted the above noted indexed price to a fixed price for any remaining month of the Period of Delivery, Buyer may terminate the remaining Period of Delivery upon not less than ten (10) days prior written notice to Seller prior to the beginning of a month.</w:t>
            </w:r>
          </w:p>
        </w:tc>
      </w:tr>
      <w:tr>
        <w:trPr/>
        <w:tc>
          <w:tcPr>
            <w:tcW w:w="3600" w:type="dxa"/>
            <w:tcBorders/>
          </w:tcPr>
          <w:p>
            <w:pPr>
              <w:pStyle w:val="Normal"/>
              <w:snapToGrid w:val="false"/>
              <w:rPr/>
            </w:pPr>
            <w:r>
              <w:rPr/>
            </w:r>
          </w:p>
        </w:tc>
        <w:tc>
          <w:tcPr>
            <w:tcW w:w="5904" w:type="dxa"/>
            <w:tcBorders/>
          </w:tcPr>
          <w:p>
            <w:pPr>
              <w:pStyle w:val="Normal"/>
              <w:snapToGrid w:val="false"/>
              <w:jc w:val="both"/>
              <w:rPr/>
            </w:pPr>
            <w:r>
              <w:rPr/>
            </w:r>
          </w:p>
        </w:tc>
      </w:tr>
      <w:tr>
        <w:trPr/>
        <w:tc>
          <w:tcPr>
            <w:tcW w:w="3600" w:type="dxa"/>
            <w:tcBorders/>
          </w:tcPr>
          <w:p>
            <w:pPr>
              <w:pStyle w:val="Normal"/>
              <w:rPr>
                <w:b/>
              </w:rPr>
            </w:pPr>
            <w:r>
              <w:rPr>
                <w:b/>
              </w:rPr>
              <w:t>OTHER:</w:t>
            </w:r>
          </w:p>
        </w:tc>
        <w:tc>
          <w:tcPr>
            <w:tcW w:w="5904" w:type="dxa"/>
            <w:tcBorders/>
          </w:tcPr>
          <w:p>
            <w:pPr>
              <w:pStyle w:val="Normal"/>
              <w:jc w:val="both"/>
              <w:rPr/>
            </w:pPr>
            <w:r>
              <w:rPr/>
              <w:t>1.  Seller may also deliver Gas from California produced supply or SoCalGas storage.  If Seller delivers Gas from PG&amp;E and/or Kern River pipelines, Seller shall pay Buyer the difference between the Compressor Surcharge (SoCalGas schedule G-ITC ICMA Surcharge) and the Zone Rate Credit (Schedule G-ITC2 Zone Credit) as defined by the tariffs of SoCalGas.</w:t>
            </w:r>
          </w:p>
          <w:p>
            <w:pPr>
              <w:pStyle w:val="Normal"/>
              <w:jc w:val="both"/>
              <w:rPr/>
            </w:pPr>
            <w:r>
              <w:rPr/>
            </w:r>
          </w:p>
          <w:p>
            <w:pPr>
              <w:pStyle w:val="Normal"/>
              <w:jc w:val="both"/>
              <w:rPr/>
            </w:pPr>
            <w:r>
              <w:rPr/>
              <w:t>2.  Buyer shall appoint Seller as its Authorized Marketer as defined by the tariffs of SoCalGas.  Seller shall be responsible for any imbalance charges or penalties resulting from failure to balance Buyer’s usage and deliveries.</w:t>
            </w:r>
          </w:p>
          <w:p>
            <w:pPr>
              <w:pStyle w:val="Normal"/>
              <w:jc w:val="both"/>
              <w:rPr/>
            </w:pPr>
            <w:r>
              <w:rPr/>
            </w:r>
          </w:p>
          <w:p>
            <w:pPr>
              <w:pStyle w:val="Normal"/>
              <w:jc w:val="both"/>
              <w:rPr>
                <w:b/>
              </w:rPr>
            </w:pPr>
            <w:r>
              <w:rPr>
                <w:b/>
              </w:rPr>
              <w:t>Notice and Communication to Company:</w:t>
            </w:r>
          </w:p>
          <w:p>
            <w:pPr>
              <w:pStyle w:val="Normal"/>
              <w:jc w:val="both"/>
              <w:rPr/>
            </w:pPr>
            <w:r>
              <w:rPr/>
              <w:t>Enron North America Corp.</w:t>
            </w:r>
          </w:p>
          <w:p>
            <w:pPr>
              <w:pStyle w:val="Normal"/>
              <w:jc w:val="both"/>
              <w:rPr/>
            </w:pPr>
            <w:r>
              <w:rPr/>
              <w:t>P.O. Box 4428</w:t>
            </w:r>
          </w:p>
          <w:p>
            <w:pPr>
              <w:pStyle w:val="Normal"/>
              <w:jc w:val="both"/>
              <w:rPr/>
            </w:pPr>
            <w:r>
              <w:rPr/>
              <w:t>Houston, TX  77210-4428</w:t>
            </w:r>
          </w:p>
          <w:p>
            <w:pPr>
              <w:pStyle w:val="Normal"/>
              <w:jc w:val="both"/>
              <w:rPr/>
            </w:pPr>
            <w:r>
              <w:rPr/>
              <w:t>Attn:  Confirmation / Documentation</w:t>
            </w:r>
          </w:p>
          <w:p>
            <w:pPr>
              <w:pStyle w:val="Normal"/>
              <w:jc w:val="both"/>
              <w:rPr/>
            </w:pPr>
            <w:r>
              <w:rPr/>
              <w:t>Facsimile No.  713-646-4816</w:t>
            </w:r>
          </w:p>
          <w:p>
            <w:pPr>
              <w:pStyle w:val="Normal"/>
              <w:jc w:val="both"/>
              <w:rPr/>
            </w:pPr>
            <w:r>
              <w:rPr/>
            </w:r>
          </w:p>
          <w:p>
            <w:pPr>
              <w:pStyle w:val="Normal"/>
              <w:jc w:val="both"/>
              <w:rPr>
                <w:b/>
              </w:rPr>
            </w:pPr>
            <w:r>
              <w:rPr>
                <w:b/>
              </w:rPr>
              <w:t>Billing, Invoices and Accounting Notices:</w:t>
            </w:r>
          </w:p>
          <w:p>
            <w:pPr>
              <w:pStyle w:val="Normal"/>
              <w:jc w:val="both"/>
              <w:rPr/>
            </w:pPr>
            <w:r>
              <w:rPr/>
              <w:t>Enron North America Corp.</w:t>
            </w:r>
          </w:p>
          <w:p>
            <w:pPr>
              <w:pStyle w:val="Normal"/>
              <w:jc w:val="both"/>
              <w:rPr/>
            </w:pPr>
            <w:r>
              <w:rPr/>
              <w:t>P.O. Box 4428</w:t>
            </w:r>
          </w:p>
          <w:p>
            <w:pPr>
              <w:pStyle w:val="Normal"/>
              <w:jc w:val="both"/>
              <w:rPr/>
            </w:pPr>
            <w:r>
              <w:rPr/>
              <w:t>Houston, TX  77210-4428</w:t>
            </w:r>
          </w:p>
          <w:p>
            <w:pPr>
              <w:pStyle w:val="Normal"/>
              <w:jc w:val="both"/>
              <w:rPr/>
            </w:pPr>
            <w:r>
              <w:rPr/>
              <w:t>Attn:  Contract Settlement</w:t>
            </w:r>
          </w:p>
          <w:p>
            <w:pPr>
              <w:pStyle w:val="Normal"/>
              <w:jc w:val="both"/>
              <w:rPr/>
            </w:pPr>
            <w:r>
              <w:rPr/>
              <w:t>Facsimile No.  713-646-8420</w:t>
            </w:r>
          </w:p>
          <w:p>
            <w:pPr>
              <w:pStyle w:val="Normal"/>
              <w:jc w:val="both"/>
              <w:rPr/>
            </w:pPr>
            <w:r>
              <w:rPr/>
            </w:r>
          </w:p>
        </w:tc>
      </w:tr>
      <w:tr>
        <w:trPr/>
        <w:tc>
          <w:tcPr>
            <w:tcW w:w="3600" w:type="dxa"/>
            <w:tcBorders/>
          </w:tcPr>
          <w:p>
            <w:pPr>
              <w:pStyle w:val="Normal"/>
              <w:snapToGrid w:val="false"/>
              <w:rPr/>
            </w:pPr>
            <w:r>
              <w:rPr/>
            </w:r>
          </w:p>
        </w:tc>
        <w:tc>
          <w:tcPr>
            <w:tcW w:w="5904" w:type="dxa"/>
            <w:tcBorders/>
          </w:tcPr>
          <w:p>
            <w:pPr>
              <w:pStyle w:val="BodyText"/>
              <w:widowControl/>
              <w:rPr>
                <w:b/>
              </w:rPr>
            </w:pPr>
            <w:r>
              <w:rPr>
                <w:b/>
              </w:rPr>
              <w:t>Payments to Company:</w:t>
            </w:r>
          </w:p>
          <w:p>
            <w:pPr>
              <w:pStyle w:val="Normal"/>
              <w:jc w:val="both"/>
              <w:rPr/>
            </w:pPr>
            <w:r>
              <w:rPr/>
              <w:t>Enron North America Corp.</w:t>
            </w:r>
          </w:p>
          <w:p>
            <w:pPr>
              <w:pStyle w:val="Normal"/>
              <w:jc w:val="both"/>
              <w:rPr/>
            </w:pPr>
            <w:r>
              <w:rPr/>
              <w:t xml:space="preserve">ABA Routing 111000012 Bank of America </w:t>
            </w:r>
          </w:p>
          <w:p>
            <w:pPr>
              <w:pStyle w:val="Normal"/>
              <w:jc w:val="both"/>
              <w:rPr/>
            </w:pPr>
            <w:r>
              <w:rPr/>
              <w:t>Account 3750494099</w:t>
            </w:r>
          </w:p>
          <w:p>
            <w:pPr>
              <w:pStyle w:val="Normal"/>
              <w:jc w:val="both"/>
              <w:rPr/>
            </w:pPr>
            <w:r>
              <w:rPr/>
            </w:r>
          </w:p>
          <w:p>
            <w:pPr>
              <w:pStyle w:val="Normal"/>
              <w:jc w:val="both"/>
              <w:rPr>
                <w:b/>
              </w:rPr>
            </w:pPr>
            <w:r>
              <w:rPr>
                <w:b/>
              </w:rPr>
              <w:t>Nominations to Company:</w:t>
            </w:r>
          </w:p>
          <w:p>
            <w:pPr>
              <w:pStyle w:val="Normal"/>
              <w:jc w:val="both"/>
              <w:rPr/>
            </w:pPr>
            <w:r>
              <w:rPr/>
              <w:t>1(800)356-9427/1(800)FLOWGAS</w:t>
            </w:r>
          </w:p>
          <w:p>
            <w:pPr>
              <w:pStyle w:val="Normal"/>
              <w:jc w:val="both"/>
              <w:rPr>
                <w:b/>
              </w:rPr>
            </w:pPr>
            <w:r>
              <w:rPr>
                <w:b/>
              </w:rPr>
              <w:t>Scheduling Confirmations to Company:</w:t>
            </w:r>
          </w:p>
          <w:p>
            <w:pPr>
              <w:pStyle w:val="Normal"/>
              <w:jc w:val="both"/>
              <w:rPr/>
            </w:pPr>
            <w:r>
              <w:rPr/>
              <w:t>Attn:  ENA Gas Trading</w:t>
            </w:r>
          </w:p>
          <w:p>
            <w:pPr>
              <w:pStyle w:val="Normal"/>
              <w:jc w:val="both"/>
              <w:rPr/>
            </w:pPr>
            <w:r>
              <w:rPr/>
              <w:t>Facsimile No. (713) 646-2531</w:t>
            </w:r>
          </w:p>
          <w:p>
            <w:pPr>
              <w:pStyle w:val="Normal"/>
              <w:rPr/>
            </w:pPr>
            <w:r>
              <w:rPr/>
            </w:r>
          </w:p>
        </w:tc>
      </w:tr>
      <w:tr>
        <w:trPr/>
        <w:tc>
          <w:tcPr>
            <w:tcW w:w="3600" w:type="dxa"/>
            <w:tcBorders/>
          </w:tcPr>
          <w:p>
            <w:pPr>
              <w:pStyle w:val="Normal"/>
              <w:snapToGrid w:val="false"/>
              <w:rPr/>
            </w:pPr>
            <w:r>
              <w:rPr/>
            </w:r>
          </w:p>
        </w:tc>
        <w:tc>
          <w:tcPr>
            <w:tcW w:w="5904" w:type="dxa"/>
            <w:tcBorders/>
          </w:tcPr>
          <w:p>
            <w:pPr>
              <w:pStyle w:val="Normal"/>
              <w:widowControl w:val="false"/>
              <w:snapToGrid w:val="false"/>
              <w:rPr>
                <w:b/>
              </w:rPr>
            </w:pPr>
            <w:r>
              <w:rPr>
                <w:b/>
              </w:rPr>
            </w:r>
          </w:p>
          <w:p>
            <w:pPr>
              <w:pStyle w:val="Normal"/>
              <w:widowControl w:val="false"/>
              <w:rPr>
                <w:b/>
              </w:rPr>
            </w:pPr>
            <w:r>
              <w:rPr>
                <w:b/>
              </w:rPr>
              <w:t>Notice and Communication to Customer:</w:t>
            </w:r>
          </w:p>
          <w:p>
            <w:pPr>
              <w:pStyle w:val="Normal"/>
              <w:widowControl w:val="false"/>
              <w:rPr/>
            </w:pPr>
            <w:r>
              <w:rPr/>
              <w:t xml:space="preserve">Akzo Nobel, Inc. </w:t>
            </w:r>
          </w:p>
          <w:p>
            <w:pPr>
              <w:pStyle w:val="Normal"/>
              <w:widowControl w:val="false"/>
              <w:rPr/>
            </w:pPr>
            <w:r>
              <w:rPr/>
              <w:t>C/O Robert Nelson</w:t>
            </w:r>
          </w:p>
          <w:p>
            <w:pPr>
              <w:pStyle w:val="Normal"/>
              <w:widowControl w:val="false"/>
              <w:rPr/>
            </w:pPr>
            <w:r>
              <w:rPr/>
              <w:t>Akzo Nobel Chemicals, Inc.</w:t>
            </w:r>
          </w:p>
          <w:p>
            <w:pPr>
              <w:pStyle w:val="Normal"/>
              <w:widowControl w:val="false"/>
              <w:rPr/>
            </w:pPr>
            <w:r>
              <w:rPr/>
              <w:t>13000 Baypark Rd.</w:t>
            </w:r>
          </w:p>
          <w:p>
            <w:pPr>
              <w:pStyle w:val="Normal"/>
              <w:widowControl w:val="false"/>
              <w:rPr/>
            </w:pPr>
            <w:r>
              <w:rPr/>
              <w:t>Pasadena, TX  77507</w:t>
            </w:r>
          </w:p>
          <w:p>
            <w:pPr>
              <w:pStyle w:val="Normal"/>
              <w:widowControl w:val="false"/>
              <w:rPr/>
            </w:pPr>
            <w:r>
              <w:rPr/>
              <w:t>Telephone No. 281-474-2864, ext. 374</w:t>
            </w:r>
          </w:p>
          <w:p>
            <w:pPr>
              <w:pStyle w:val="Normal"/>
              <w:widowControl w:val="false"/>
              <w:rPr/>
            </w:pPr>
            <w:r>
              <w:rPr/>
              <w:t>Facsimile No. 281-474-0351</w:t>
            </w:r>
          </w:p>
          <w:p>
            <w:pPr>
              <w:pStyle w:val="Normal"/>
              <w:widowControl w:val="false"/>
              <w:rPr/>
            </w:pPr>
            <w:r>
              <w:rPr/>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snapToGrid w:val="false"/>
              <w:rPr/>
            </w:pPr>
            <w:r>
              <w:rPr/>
            </w:r>
          </w:p>
        </w:tc>
        <w:tc>
          <w:tcPr>
            <w:tcW w:w="5904" w:type="dxa"/>
            <w:tcBorders/>
          </w:tcPr>
          <w:p>
            <w:pPr>
              <w:pStyle w:val="Normal"/>
              <w:rPr>
                <w:b/>
              </w:rPr>
            </w:pPr>
            <w:r>
              <w:rPr>
                <w:b/>
              </w:rPr>
              <w:t>Billing, Invoices and Accounting Matters:</w:t>
            </w:r>
          </w:p>
          <w:p>
            <w:pPr>
              <w:pStyle w:val="Normal"/>
              <w:rPr/>
            </w:pPr>
            <w:r>
              <w:rPr/>
              <w:t xml:space="preserve">Akzo Nobel, Inc. </w:t>
            </w:r>
          </w:p>
          <w:p>
            <w:pPr>
              <w:pStyle w:val="Normal"/>
              <w:rPr/>
            </w:pPr>
            <w:r>
              <w:rPr/>
              <w:t>3492 East 26</w:t>
            </w:r>
            <w:r>
              <w:rPr>
                <w:vertAlign w:val="superscript"/>
              </w:rPr>
              <w:t>th</w:t>
            </w:r>
            <w:r>
              <w:rPr/>
              <w:t xml:space="preserve"> Street</w:t>
            </w:r>
          </w:p>
          <w:p>
            <w:pPr>
              <w:pStyle w:val="Normal"/>
              <w:rPr/>
            </w:pPr>
            <w:r>
              <w:rPr/>
              <w:t>Los Angeles, CA  90023</w:t>
            </w:r>
          </w:p>
          <w:p>
            <w:pPr>
              <w:pStyle w:val="Normal"/>
              <w:rPr/>
            </w:pPr>
            <w:r>
              <w:rPr/>
              <w:t>Attn:  Accounts Payable</w:t>
            </w:r>
          </w:p>
          <w:p>
            <w:pPr>
              <w:pStyle w:val="Normal"/>
              <w:rPr/>
            </w:pPr>
            <w:r>
              <w:rPr/>
              <w:t>Telephone No. 231-260-8881</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bl>
    <w:p>
      <w:pPr>
        <w:pStyle w:val="Normal"/>
        <w:rPr/>
      </w:pPr>
      <w:r>
        <w:rPr/>
      </w:r>
    </w:p>
    <w:p>
      <w:pPr>
        <w:pStyle w:val="BodyText"/>
        <w:widowControl/>
        <w:rPr/>
      </w:pPr>
      <w:r>
        <w:rPr/>
        <w:t>This Confirmation Agreement is being provided pursuant to and in accordance with the attached Firm GTC and constitutes part of and is subject to all of the provisions of the Firm GTC.  Any objection of Customer to this revised Confirmation Agreement must be made by written notice to Company within 1 day of Customer’s receipt of same.  Please execute this revised Confirmation Agreement and return an executed original to Company.</w:t>
      </w:r>
    </w:p>
    <w:p>
      <w:pPr>
        <w:pStyle w:val="BodyText"/>
        <w:widowControl/>
        <w:rPr/>
      </w:pPr>
      <w:r>
        <w:rPr/>
      </w:r>
    </w:p>
    <w:p>
      <w:pPr>
        <w:pStyle w:val="Normal"/>
        <w:rPr/>
      </w:pPr>
      <w:r>
        <w:rPr>
          <w:b/>
        </w:rPr>
        <w:t>AKZO NOBEL, INC.</w:t>
      </w:r>
      <w:r>
        <w:rPr/>
        <w:tab/>
        <w:tab/>
        <w:tab/>
        <w:tab/>
        <w:tab/>
      </w:r>
      <w:r>
        <w:rPr>
          <w:b/>
        </w:rPr>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b/>
        </w:rPr>
      </w:pPr>
      <w:r>
        <w:rPr>
          <w:b/>
        </w:rPr>
      </w:r>
    </w:p>
    <w:p>
      <w:pPr>
        <w:pStyle w:val="Normal"/>
        <w:rPr/>
      </w:pPr>
      <w:r>
        <w:rPr>
          <w:u w:val="single"/>
        </w:rPr>
        <w:tab/>
        <w:tab/>
        <w:tab/>
        <w:tab/>
        <w:tab/>
        <w:tab/>
      </w:r>
      <w:r>
        <w:rPr/>
        <w:tab/>
      </w:r>
    </w:p>
    <w:p>
      <w:pPr>
        <w:pStyle w:val="Normal"/>
        <w:rPr/>
      </w:pPr>
      <w:r>
        <w:rPr/>
        <w:t>Signature</w:t>
        <w:tab/>
        <w:tab/>
        <w:tab/>
        <w:tab/>
      </w:r>
    </w:p>
    <w:p>
      <w:pPr>
        <w:pStyle w:val="Normal"/>
        <w:rPr/>
      </w:pPr>
      <w:r>
        <w:rPr/>
      </w:r>
    </w:p>
    <w:p>
      <w:pPr>
        <w:pStyle w:val="Normal"/>
        <w:rPr/>
      </w:pPr>
      <w:r>
        <w:rPr/>
        <w:t xml:space="preserve">Printed </w:t>
        <w:tab/>
        <w:tab/>
        <w:tab/>
        <w:tab/>
        <w:tab/>
        <w:tab/>
        <w:tab/>
      </w:r>
    </w:p>
    <w:p>
      <w:pPr>
        <w:pStyle w:val="Normal"/>
        <w:rPr/>
      </w:pPr>
      <w:r>
        <w:rPr/>
        <w:t>Name</w:t>
      </w:r>
      <w:r>
        <w:rPr>
          <w:u w:val="single"/>
        </w:rPr>
        <w:tab/>
        <w:tab/>
        <w:tab/>
        <w:tab/>
        <w:tab/>
        <w:tab/>
      </w:r>
      <w:r>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t>Title</w:t>
      </w:r>
      <w:r>
        <w:rPr>
          <w:u w:val="single"/>
        </w:rPr>
        <w:tab/>
        <w:tab/>
        <w:tab/>
        <w:tab/>
        <w:tab/>
        <w:tab/>
      </w:r>
      <w:r>
        <w:rPr/>
        <w:tab/>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headerReference w:type="default" r:id="rId6"/>
      <w:headerReference w:type="first" r:id="rId7"/>
      <w:footerReference w:type="default" r:id="rId8"/>
      <w:footerReference w:type="first" r:id="rId9"/>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/mnt/main-storage/datasets/enron-docs/doc/2001_003ltr-9d3896754f4d6c3d756a2544e931b9902ecc9f86245b5b27ec10b155ad0c166c.doc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/mnt/main-storage/datasets/enron-docs/doc/2001_003ltr-9d3896754f4d6c3d756a2544e931b9902ecc9f86245b5b27ec10b155ad0c166c.doc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/mnt/main-storage/datasets/enron-docs/doc/2001_003ltr-9d3896754f4d6c3d756a2544e931b9902ecc9f86245b5b27ec10b155ad0c166c.doc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Akzo Nobel, Inc</w:t>
    </w:r>
  </w:p>
  <w:p>
    <w:pPr>
      <w:pStyle w:val="Header"/>
      <w:rPr>
        <w:rFonts w:ascii="Times New Roman" w:hAnsi="Times New Roman" w:cs="Times New Roman"/>
        <w:sz w:val="22"/>
      </w:rPr>
    </w:pPr>
    <w:r>
      <w:rPr>
        <w:rFonts w:cs="Times New Roman" w:ascii="Times New Roman" w:hAnsi="Times New Roman"/>
        <w:sz w:val="22"/>
      </w:rPr>
      <w:t>January 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572640639"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Akzo Nobel, Inc</w:t>
    </w:r>
  </w:p>
  <w:p>
    <w:pPr>
      <w:pStyle w:val="Header"/>
      <w:rPr>
        <w:rFonts w:ascii="Times New Roman" w:hAnsi="Times New Roman" w:cs="Times New Roman"/>
        <w:sz w:val="22"/>
      </w:rPr>
    </w:pPr>
    <w:r>
      <w:rPr>
        <w:rFonts w:cs="Times New Roman" w:ascii="Times New Roman" w:hAnsi="Times New Roman"/>
        <w:sz w:val="22"/>
      </w:rPr>
      <w:t>January 9,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147063873"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2001-01-08T19:04:00Z</dcterms:created>
  <dc:creator>Daniel J. Hyvl</dc:creator>
  <dc:description/>
  <dc:language>en-CA</dc:language>
  <cp:lastModifiedBy>dhyvl</cp:lastModifiedBy>
  <cp:lastPrinted>2001-01-08T16:00:00Z</cp:lastPrinted>
  <dcterms:modified xsi:type="dcterms:W3CDTF">2001-01-08T19:30:00Z</dcterms:modified>
  <cp:revision>6</cp:revision>
  <dc:subject/>
  <dc:title>November 4, 1999</dc:title>
</cp:coreProperties>
</file>