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CLEAN FUELS</w:t>
      </w:r>
    </w:p>
    <w:p>
      <w:pPr>
        <w:pStyle w:val="Normal"/>
        <w:jc w:val="center"/>
        <w:rPr>
          <w:sz w:val="24"/>
        </w:rPr>
      </w:pPr>
      <w:r>
        <w:rPr>
          <w:sz w:val="24"/>
        </w:rPr>
        <w:t xml:space="preserve">COMMERCIAL FINANCIAL SUPPORT </w:t>
      </w:r>
    </w:p>
    <w:p>
      <w:pPr>
        <w:pStyle w:val="Normal"/>
        <w:jc w:val="center"/>
        <w:rPr>
          <w:sz w:val="24"/>
        </w:rPr>
      </w:pPr>
      <w:r>
        <w:rPr>
          <w:sz w:val="24"/>
        </w:rPr>
        <w:t>PROPOSED 2001 OBJECTIVES</w:t>
      </w:r>
    </w:p>
    <w:p>
      <w:pPr>
        <w:pStyle w:val="Normal"/>
        <w:jc w:val="center"/>
        <w:rPr>
          <w:sz w:val="24"/>
        </w:rPr>
      </w:pPr>
      <w:r>
        <w:rPr>
          <w:sz w:val="24"/>
        </w:rPr>
      </w:r>
    </w:p>
    <w:p>
      <w:pPr>
        <w:pStyle w:val="Normal"/>
        <w:rPr>
          <w:sz w:val="24"/>
        </w:rPr>
      </w:pPr>
      <w:r>
        <w:rPr>
          <w:sz w:val="24"/>
        </w:rPr>
      </w:r>
    </w:p>
    <w:p>
      <w:pPr>
        <w:pStyle w:val="Normal"/>
        <w:numPr>
          <w:ilvl w:val="0"/>
          <w:numId w:val="4"/>
        </w:numPr>
        <w:rPr>
          <w:sz w:val="24"/>
        </w:rPr>
      </w:pPr>
      <w:r>
        <w:rPr>
          <w:sz w:val="24"/>
        </w:rPr>
        <w:t xml:space="preserve">Perform analyses, as needed, to determine optimal production levels, including shut-down and start-up scenarios.  Also includes financial analyses of alternative plant uses and initiatives.  Alternate run scenarios analyses should be completed within two business days of request.  Initial pass at alternative plant use analyses should be completed within one week of request.  </w:t>
      </w:r>
    </w:p>
    <w:p>
      <w:pPr>
        <w:pStyle w:val="Normal"/>
        <w:rPr>
          <w:sz w:val="24"/>
        </w:rPr>
      </w:pPr>
      <w:r>
        <w:rPr>
          <w:sz w:val="24"/>
        </w:rPr>
      </w:r>
    </w:p>
    <w:p>
      <w:pPr>
        <w:pStyle w:val="Normal"/>
        <w:numPr>
          <w:ilvl w:val="0"/>
          <w:numId w:val="5"/>
        </w:numPr>
        <w:rPr>
          <w:sz w:val="24"/>
        </w:rPr>
      </w:pPr>
      <w:r>
        <w:rPr>
          <w:sz w:val="24"/>
        </w:rPr>
        <w:t>Provide support to the legal department and outside counsel related to the City of Morgans Point property tax lawsuit.  All required information and data should be provided to outside counsel before the end of the first quarter.</w:t>
      </w:r>
    </w:p>
    <w:p>
      <w:pPr>
        <w:pStyle w:val="Normal"/>
        <w:rPr>
          <w:sz w:val="24"/>
        </w:rPr>
      </w:pPr>
      <w:r>
        <w:rPr>
          <w:sz w:val="24"/>
        </w:rPr>
      </w:r>
    </w:p>
    <w:p>
      <w:pPr>
        <w:pStyle w:val="Normal"/>
        <w:numPr>
          <w:ilvl w:val="0"/>
          <w:numId w:val="5"/>
        </w:numPr>
        <w:rPr>
          <w:sz w:val="24"/>
        </w:rPr>
      </w:pPr>
      <w:r>
        <w:rPr>
          <w:sz w:val="24"/>
        </w:rPr>
        <w:t>Provide the support necessary to clear outstanding intercompany differences and uncollected accounts receivable with ENA prior to the end of second quarter.</w:t>
      </w:r>
    </w:p>
    <w:p>
      <w:pPr>
        <w:pStyle w:val="Normal"/>
        <w:rPr>
          <w:sz w:val="24"/>
        </w:rPr>
      </w:pPr>
      <w:r>
        <w:rPr>
          <w:sz w:val="24"/>
        </w:rPr>
      </w:r>
    </w:p>
    <w:p>
      <w:pPr>
        <w:pStyle w:val="Normal"/>
        <w:numPr>
          <w:ilvl w:val="0"/>
          <w:numId w:val="5"/>
        </w:numPr>
        <w:rPr>
          <w:sz w:val="24"/>
        </w:rPr>
      </w:pPr>
      <w:r>
        <w:rPr>
          <w:sz w:val="24"/>
        </w:rPr>
        <w:t>Negotiate with taxing and appraisal authorities to ensure ad valorem taxes for all three facilities are no more than the $2.3 million budgeted.  Stretch target of $2.0 million.</w:t>
      </w:r>
    </w:p>
    <w:p>
      <w:pPr>
        <w:pStyle w:val="Normal"/>
        <w:rPr>
          <w:sz w:val="24"/>
        </w:rPr>
      </w:pPr>
      <w:r>
        <w:rPr>
          <w:sz w:val="24"/>
        </w:rPr>
      </w:r>
    </w:p>
    <w:p>
      <w:pPr>
        <w:pStyle w:val="Normal"/>
        <w:numPr>
          <w:ilvl w:val="0"/>
          <w:numId w:val="3"/>
        </w:numPr>
        <w:rPr>
          <w:sz w:val="24"/>
        </w:rPr>
      </w:pPr>
      <w:r>
        <w:rPr>
          <w:sz w:val="24"/>
        </w:rPr>
        <w:t>Provide data/analysis to support Clean Fuels divestiture efforts.  All request should have an initial response within two business days of request.</w:t>
      </w:r>
    </w:p>
    <w:p>
      <w:pPr>
        <w:pStyle w:val="Normal"/>
        <w:rPr>
          <w:sz w:val="24"/>
        </w:rPr>
      </w:pPr>
      <w:r>
        <w:rPr>
          <w:sz w:val="24"/>
        </w:rPr>
      </w:r>
    </w:p>
    <w:p>
      <w:pPr>
        <w:pStyle w:val="Normal"/>
        <w:numPr>
          <w:ilvl w:val="0"/>
          <w:numId w:val="3"/>
        </w:numPr>
        <w:rPr>
          <w:sz w:val="24"/>
        </w:rPr>
      </w:pPr>
      <w:r>
        <w:rPr>
          <w:sz w:val="24"/>
        </w:rPr>
        <w:t>Complete the filing of the 5 insurance claims currently outstanding by the end of the third quarter 2001, with payment received by the end of first quarter 2002.  Stretch target; one month earlier respectfully.</w:t>
      </w:r>
    </w:p>
    <w:p>
      <w:pPr>
        <w:pStyle w:val="Normal"/>
        <w:rPr>
          <w:sz w:val="24"/>
        </w:rPr>
      </w:pPr>
      <w:r>
        <w:rPr>
          <w:sz w:val="24"/>
        </w:rPr>
      </w:r>
    </w:p>
    <w:p>
      <w:pPr>
        <w:pStyle w:val="Normal"/>
        <w:numPr>
          <w:ilvl w:val="0"/>
          <w:numId w:val="2"/>
        </w:numPr>
        <w:rPr>
          <w:sz w:val="24"/>
        </w:rPr>
      </w:pPr>
      <w:r>
        <w:rPr>
          <w:sz w:val="24"/>
        </w:rPr>
        <w:t>Continue the following ongoing activities:</w:t>
      </w:r>
    </w:p>
    <w:p>
      <w:pPr>
        <w:pStyle w:val="Normal"/>
        <w:rPr>
          <w:sz w:val="24"/>
        </w:rPr>
      </w:pPr>
      <w:r>
        <w:rPr>
          <w:sz w:val="24"/>
        </w:rPr>
      </w:r>
    </w:p>
    <w:p>
      <w:pPr>
        <w:pStyle w:val="BodyTextIndent"/>
        <w:rPr/>
      </w:pPr>
      <w:r>
        <w:rPr/>
        <w:t>1.   Complete Quarterly Forecast, Current Estimate and Annual Operating Plan as scheduled.</w:t>
      </w:r>
    </w:p>
    <w:p>
      <w:pPr>
        <w:pStyle w:val="BodyTextIndent"/>
        <w:rPr/>
      </w:pPr>
      <w:r>
        <w:rPr/>
        <w:t>2.   Provide support for addressing issues related to SAP, including reporting efficiencies, intercompany issues, and plant administration training.</w:t>
      </w:r>
    </w:p>
    <w:p>
      <w:pPr>
        <w:pStyle w:val="Normal"/>
        <w:numPr>
          <w:ilvl w:val="0"/>
          <w:numId w:val="1"/>
        </w:numPr>
        <w:tabs>
          <w:tab w:val="left" w:pos="720" w:leader="none"/>
        </w:tabs>
        <w:rPr>
          <w:sz w:val="24"/>
        </w:rPr>
      </w:pPr>
      <w:r>
        <w:rPr>
          <w:sz w:val="24"/>
        </w:rPr>
        <w:t>Contribute to meeting earnings targets through innovation, efficiencies and other appropriate financial efforts.</w:t>
      </w:r>
    </w:p>
    <w:p>
      <w:pPr>
        <w:pStyle w:val="Normal"/>
        <w:numPr>
          <w:ilvl w:val="0"/>
          <w:numId w:val="1"/>
        </w:numPr>
        <w:rPr>
          <w:sz w:val="24"/>
        </w:rPr>
      </w:pPr>
      <w:r>
        <w:rPr>
          <w:sz w:val="24"/>
        </w:rPr>
        <w:t>Manage department, within $100,000 less than budget of $559,000, while developing the abilities of its staff.</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start"/>
      <w:pPr>
        <w:tabs>
          <w:tab w:val="num" w:pos="720"/>
        </w:tabs>
        <w:ind w:start="720" w:hanging="360"/>
      </w:pPr>
      <w:r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72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2001-03-01T19:43:00Z</dcterms:created>
  <dc:creator>kroper</dc:creator>
  <dc:description/>
  <dc:language>en-CA</dc:language>
  <cp:lastModifiedBy>tmeers</cp:lastModifiedBy>
  <dcterms:modified xsi:type="dcterms:W3CDTF">2001-03-02T19:12:00Z</dcterms:modified>
  <cp:revision>6</cp:revision>
  <dc:subject/>
  <dc:title>CLEAN FUELS</dc:title>
</cp:coreProperties>
</file>