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val="false"/>
          <w:sz w:val="18"/>
          <w:u w:val="single"/>
        </w:rPr>
      </w:pPr>
      <w:r>
        <w:rPr>
          <w:b w:val="false"/>
          <w:sz w:val="18"/>
          <w:u w:val="single"/>
        </w:rPr>
        <w:t>8/23/2001 2:40 PM</w:t>
      </w:r>
    </w:p>
    <w:p>
      <w:pPr>
        <w:pStyle w:val="Heading"/>
        <w:jc w:val="end"/>
        <w:rPr>
          <w:b w:val="false"/>
          <w:sz w:val="18"/>
          <w:u w:val="single"/>
        </w:rPr>
      </w:pPr>
      <w:r>
        <w:rPr>
          <w:b w:val="false"/>
          <w:sz w:val="18"/>
          <w:u w:val="single"/>
        </w:rPr>
      </w:r>
    </w:p>
    <w:p>
      <w:pPr>
        <w:pStyle w:val="Heading"/>
        <w:rPr>
          <w:sz w:val="28"/>
        </w:rPr>
      </w:pPr>
      <w:r>
        <w:rPr>
          <w:sz w:val="28"/>
        </w:rPr>
        <w:t>Enron Transportation Services Company</w:t>
      </w:r>
    </w:p>
    <w:p>
      <w:pPr>
        <w:pStyle w:val="Subtitle"/>
        <w:rPr>
          <w:sz w:val="28"/>
        </w:rPr>
      </w:pPr>
      <w:r>
        <w:rPr>
          <w:sz w:val="28"/>
        </w:rPr>
        <w:t>Status Report on 2001 Goals and Objectives</w:t>
      </w:r>
    </w:p>
    <w:p>
      <w:pPr>
        <w:pStyle w:val="Normal"/>
        <w:jc w:val="center"/>
        <w:rPr>
          <w:b/>
          <w:sz w:val="24"/>
        </w:rPr>
      </w:pPr>
      <w:r>
        <w:rPr>
          <w:b/>
          <w:sz w:val="24"/>
        </w:rPr>
      </w:r>
    </w:p>
    <w:p>
      <w:pPr>
        <w:pStyle w:val="Normal"/>
        <w:rPr>
          <w:b/>
          <w:sz w:val="24"/>
        </w:rPr>
      </w:pPr>
      <w:r>
        <w:rPr>
          <w:b/>
          <w:sz w:val="24"/>
        </w:rPr>
      </w:r>
    </w:p>
    <w:p>
      <w:pPr>
        <w:pStyle w:val="BodyTextIndent"/>
        <w:numPr>
          <w:ilvl w:val="0"/>
          <w:numId w:val="2"/>
        </w:numPr>
        <w:jc w:val="both"/>
        <w:rPr/>
      </w:pPr>
      <w:r>
        <w:rPr/>
        <w:t>Complete construction within the $250 million budget and place into service by May 1, 2001, FGT’s Phase IV Expansion Project.</w:t>
      </w:r>
    </w:p>
    <w:p>
      <w:pPr>
        <w:pStyle w:val="Normal"/>
        <w:ind w:start="450" w:end="0"/>
        <w:jc w:val="both"/>
        <w:rPr>
          <w:b/>
          <w:bCs/>
          <w:sz w:val="24"/>
          <w:u w:val="single"/>
        </w:rPr>
      </w:pPr>
      <w:r>
        <w:rPr>
          <w:b/>
          <w:bCs/>
          <w:sz w:val="24"/>
          <w:u w:val="single"/>
        </w:rPr>
      </w:r>
    </w:p>
    <w:p>
      <w:pPr>
        <w:pStyle w:val="Normal"/>
        <w:ind w:start="450" w:end="0"/>
        <w:jc w:val="both"/>
        <w:rPr/>
      </w:pPr>
      <w:r>
        <w:rPr>
          <w:b/>
          <w:bCs/>
          <w:sz w:val="24"/>
          <w:u w:val="single"/>
        </w:rPr>
        <w:t>STATUS</w:t>
      </w:r>
      <w:r>
        <w:rPr>
          <w:b/>
          <w:bCs/>
          <w:sz w:val="24"/>
        </w:rPr>
        <w:t>:</w:t>
      </w:r>
      <w:r>
        <w:rPr>
          <w:sz w:val="24"/>
        </w:rPr>
        <w:t xml:space="preserve">  </w:t>
      </w:r>
      <w:r>
        <w:rPr>
          <w:b/>
          <w:bCs/>
          <w:sz w:val="24"/>
        </w:rPr>
        <w:t>FGT’s Phase IV expansion project was completed and placed into service on May 1, 2001.  The project came in under budget by $ 7 MM.</w:t>
      </w:r>
    </w:p>
    <w:p>
      <w:pPr>
        <w:pStyle w:val="Normal"/>
        <w:ind w:start="450" w:end="0"/>
        <w:jc w:val="both"/>
        <w:rPr>
          <w:b/>
          <w:bCs/>
          <w:sz w:val="24"/>
        </w:rPr>
      </w:pPr>
      <w:r>
        <w:rPr>
          <w:b/>
          <w:bCs/>
          <w:sz w:val="24"/>
        </w:rPr>
      </w:r>
    </w:p>
    <w:p>
      <w:pPr>
        <w:pStyle w:val="BodyTextIndent"/>
        <w:numPr>
          <w:ilvl w:val="0"/>
          <w:numId w:val="6"/>
        </w:numPr>
        <w:jc w:val="both"/>
        <w:rPr/>
      </w:pPr>
      <w:r>
        <w:rPr/>
        <w:t>Obtain a final FERC certificate for FGT’s Phase V Project by the end of the second quarter, 2001, and commence construction.  Construction of the Sanford and Gulf Power Laterals should be completed by the fourth quarter, 2001.</w:t>
      </w:r>
    </w:p>
    <w:p>
      <w:pPr>
        <w:pStyle w:val="BodyTextIndent"/>
        <w:ind w:hanging="0" w:start="450" w:end="0"/>
        <w:jc w:val="both"/>
        <w:rPr>
          <w:b/>
          <w:bCs/>
          <w:u w:val="single"/>
        </w:rPr>
      </w:pPr>
      <w:r>
        <w:rPr>
          <w:b/>
          <w:bCs/>
          <w:u w:val="single"/>
        </w:rPr>
      </w:r>
    </w:p>
    <w:p>
      <w:pPr>
        <w:pStyle w:val="BodyTextIndent"/>
        <w:ind w:hanging="0" w:start="450" w:end="0"/>
        <w:jc w:val="both"/>
        <w:rPr/>
      </w:pPr>
      <w:r>
        <w:rPr>
          <w:b/>
          <w:bCs/>
          <w:u w:val="single"/>
        </w:rPr>
        <w:t>STATUS</w:t>
      </w:r>
      <w:r>
        <w:rPr>
          <w:b/>
          <w:bCs/>
        </w:rPr>
        <w:t>:</w:t>
      </w:r>
      <w:r>
        <w:rPr/>
        <w:t xml:space="preserve">  </w:t>
      </w:r>
      <w:r>
        <w:rPr>
          <w:b/>
          <w:bCs/>
        </w:rPr>
        <w:t>A certificate was issued by the FERC on 7/15/01.  Construction is due to commence on 8/28/01.  The project is scheduled to be completed on schedule.</w:t>
      </w:r>
    </w:p>
    <w:p>
      <w:pPr>
        <w:pStyle w:val="BodyTextIndent"/>
        <w:ind w:hanging="0" w:start="450" w:end="0"/>
        <w:jc w:val="both"/>
        <w:rPr>
          <w:b/>
          <w:bCs/>
        </w:rPr>
      </w:pPr>
      <w:r>
        <w:rPr>
          <w:b/>
          <w:bCs/>
        </w:rPr>
      </w:r>
    </w:p>
    <w:p>
      <w:pPr>
        <w:pStyle w:val="Normal"/>
        <w:numPr>
          <w:ilvl w:val="0"/>
          <w:numId w:val="6"/>
        </w:numPr>
        <w:jc w:val="both"/>
        <w:rPr>
          <w:sz w:val="24"/>
        </w:rPr>
      </w:pPr>
      <w:r>
        <w:rPr>
          <w:sz w:val="24"/>
        </w:rPr>
        <w:t>Obtain the necessary market support and file a certificate for FGT’s Phase VI Project by the end of the second quarter, 2001.</w:t>
      </w:r>
    </w:p>
    <w:p>
      <w:pPr>
        <w:pStyle w:val="Normal"/>
        <w:jc w:val="both"/>
        <w:rPr>
          <w:sz w:val="24"/>
        </w:rPr>
      </w:pPr>
      <w:r>
        <w:rPr>
          <w:sz w:val="24"/>
        </w:rPr>
      </w:r>
    </w:p>
    <w:p>
      <w:pPr>
        <w:pStyle w:val="Normal"/>
        <w:ind w:start="450" w:end="0"/>
        <w:jc w:val="both"/>
        <w:rPr/>
      </w:pPr>
      <w:r>
        <w:rPr>
          <w:b/>
          <w:bCs/>
          <w:sz w:val="24"/>
          <w:u w:val="single"/>
        </w:rPr>
        <w:t>STATUS</w:t>
      </w:r>
      <w:r>
        <w:rPr>
          <w:b/>
          <w:bCs/>
          <w:sz w:val="24"/>
        </w:rPr>
        <w:t>:</w:t>
      </w:r>
      <w:r>
        <w:rPr>
          <w:sz w:val="24"/>
        </w:rPr>
        <w:t xml:space="preserve">  </w:t>
      </w:r>
      <w:r>
        <w:rPr>
          <w:b/>
          <w:bCs/>
          <w:sz w:val="24"/>
        </w:rPr>
        <w:t>FGT has executed firm service transportation contracts with Orlando Utilities Commission, the City of Leesburg, South Florida Natural Gas and Reliant Energy Services totaling 121 MMcf/D of peak-day capacity.  FGT will file a certificate application for the Phase VI expansion project with the FERC by November 2001.</w:t>
      </w:r>
    </w:p>
    <w:p>
      <w:pPr>
        <w:pStyle w:val="Normal"/>
        <w:jc w:val="both"/>
        <w:rPr>
          <w:b/>
          <w:bCs/>
          <w:sz w:val="24"/>
        </w:rPr>
      </w:pPr>
      <w:r>
        <w:rPr>
          <w:b/>
          <w:bCs/>
          <w:sz w:val="24"/>
        </w:rPr>
      </w:r>
    </w:p>
    <w:p>
      <w:pPr>
        <w:pStyle w:val="Normal"/>
        <w:numPr>
          <w:ilvl w:val="0"/>
          <w:numId w:val="6"/>
        </w:numPr>
        <w:jc w:val="both"/>
        <w:rPr>
          <w:sz w:val="24"/>
        </w:rPr>
      </w:pPr>
      <w:r>
        <w:rPr>
          <w:sz w:val="24"/>
        </w:rPr>
        <w:t>Complete NBPL’s Project 2000 and place into service by November 1, 2001.</w:t>
      </w:r>
    </w:p>
    <w:p>
      <w:pPr>
        <w:pStyle w:val="Normal"/>
        <w:ind w:start="450" w:end="0"/>
        <w:jc w:val="both"/>
        <w:rPr>
          <w:b/>
          <w:bCs/>
          <w:sz w:val="24"/>
          <w:u w:val="single"/>
        </w:rPr>
      </w:pPr>
      <w:r>
        <w:rPr>
          <w:b/>
          <w:bCs/>
          <w:sz w:val="24"/>
          <w:u w:val="single"/>
        </w:rPr>
      </w:r>
    </w:p>
    <w:p>
      <w:pPr>
        <w:pStyle w:val="Normal"/>
        <w:ind w:start="450" w:end="0"/>
        <w:jc w:val="both"/>
        <w:rPr/>
      </w:pPr>
      <w:r>
        <w:rPr>
          <w:b/>
          <w:bCs/>
          <w:sz w:val="24"/>
          <w:u w:val="single"/>
        </w:rPr>
        <w:t>STATUS</w:t>
      </w:r>
      <w:r>
        <w:rPr>
          <w:sz w:val="24"/>
        </w:rPr>
        <w:t xml:space="preserve">:  </w:t>
      </w:r>
      <w:r>
        <w:rPr>
          <w:b/>
          <w:bCs/>
          <w:sz w:val="24"/>
        </w:rPr>
        <w:t>NBPL’s Project 2000 is on schedule for an in-service date of November 1, 2001.  The project is projected to be under budget by $ __________.</w:t>
      </w:r>
    </w:p>
    <w:p>
      <w:pPr>
        <w:pStyle w:val="Normal"/>
        <w:jc w:val="both"/>
        <w:rPr>
          <w:b/>
          <w:bCs/>
          <w:sz w:val="24"/>
        </w:rPr>
      </w:pPr>
      <w:r>
        <w:rPr>
          <w:b/>
          <w:bCs/>
          <w:sz w:val="24"/>
        </w:rPr>
      </w:r>
    </w:p>
    <w:p>
      <w:pPr>
        <w:pStyle w:val="BodyText"/>
        <w:numPr>
          <w:ilvl w:val="0"/>
          <w:numId w:val="6"/>
        </w:numPr>
        <w:jc w:val="both"/>
        <w:rPr/>
      </w:pPr>
      <w:r>
        <w:rPr/>
        <w:t>Develop or acquire new accretive business opportunities that result in new capital requirements of $200 million for NBP.</w:t>
      </w:r>
    </w:p>
    <w:p>
      <w:pPr>
        <w:pStyle w:val="BodyText"/>
        <w:ind w:start="450" w:end="0"/>
        <w:jc w:val="both"/>
        <w:rPr>
          <w:b/>
          <w:bCs/>
          <w:u w:val="single"/>
        </w:rPr>
      </w:pPr>
      <w:r>
        <w:rPr>
          <w:b/>
          <w:bCs/>
          <w:u w:val="single"/>
        </w:rPr>
      </w:r>
    </w:p>
    <w:p>
      <w:pPr>
        <w:pStyle w:val="BodyText"/>
        <w:ind w:start="450" w:end="0"/>
        <w:jc w:val="both"/>
        <w:rPr/>
      </w:pPr>
      <w:r>
        <w:rPr>
          <w:b/>
          <w:bCs/>
          <w:u w:val="single"/>
        </w:rPr>
        <w:t>STATUS</w:t>
      </w:r>
      <w:r>
        <w:rPr>
          <w:b/>
          <w:bCs/>
        </w:rPr>
        <w:t>:</w:t>
      </w:r>
      <w:r>
        <w:rPr/>
        <w:t xml:space="preserve">  </w:t>
      </w:r>
      <w:r>
        <w:rPr>
          <w:b/>
          <w:bCs/>
        </w:rPr>
        <w:t xml:space="preserve">NBP has closed on four major acquisitions amounting to over $600 million.  The acquisitions included the Midwestern Interstate Pipeline and extensive gathering facilities in the Rockies.   The projects are projected to add incremental income and cash flow to NBP’s 2001 financial goals. </w:t>
      </w:r>
    </w:p>
    <w:p>
      <w:pPr>
        <w:pStyle w:val="BodyText"/>
        <w:jc w:val="both"/>
        <w:rPr>
          <w:b/>
          <w:bCs/>
        </w:rPr>
      </w:pPr>
      <w:r>
        <w:rPr>
          <w:b/>
          <w:bCs/>
        </w:rPr>
      </w:r>
    </w:p>
    <w:p>
      <w:pPr>
        <w:pStyle w:val="BodyText"/>
        <w:numPr>
          <w:ilvl w:val="0"/>
          <w:numId w:val="6"/>
        </w:numPr>
        <w:jc w:val="both"/>
        <w:rPr/>
      </w:pPr>
      <w:r>
        <w:rPr/>
        <w:t>Identify and gain regulatory approval for 50 MMcf/D of new capacity on Transwestern.  Such capacity to in-service by December 1, 2001.</w:t>
      </w:r>
    </w:p>
    <w:p>
      <w:pPr>
        <w:pStyle w:val="BodyText"/>
        <w:ind w:start="450" w:end="0"/>
        <w:jc w:val="both"/>
        <w:rPr>
          <w:b/>
          <w:bCs/>
          <w:u w:val="single"/>
        </w:rPr>
      </w:pPr>
      <w:r>
        <w:rPr>
          <w:b/>
          <w:bCs/>
          <w:u w:val="single"/>
        </w:rPr>
      </w:r>
    </w:p>
    <w:p>
      <w:pPr>
        <w:pStyle w:val="BodyText"/>
        <w:ind w:start="450" w:end="0"/>
        <w:jc w:val="both"/>
        <w:rPr/>
      </w:pPr>
      <w:r>
        <w:rPr>
          <w:b/>
          <w:bCs/>
          <w:u w:val="single"/>
        </w:rPr>
        <w:t>STATUS</w:t>
      </w:r>
      <w:r>
        <w:rPr/>
        <w:t xml:space="preserve">:  </w:t>
      </w:r>
      <w:r>
        <w:rPr>
          <w:b/>
          <w:bCs/>
        </w:rPr>
        <w:t>The combined efforts of Transwestern’s Commercial Group, Regulatory Group and ETS’ facility planning department have identified ways to increase Transwestern’s operational capacity by more than 50 MMcf/D.  No additional FERC authority was required.</w:t>
      </w:r>
    </w:p>
    <w:p>
      <w:pPr>
        <w:pStyle w:val="BodyText"/>
        <w:ind w:start="450" w:end="0"/>
        <w:jc w:val="both"/>
        <w:rPr>
          <w:b/>
          <w:bCs/>
        </w:rPr>
      </w:pPr>
      <w:r>
        <w:rPr>
          <w:b/>
          <w:bCs/>
        </w:rPr>
      </w:r>
    </w:p>
    <w:p>
      <w:pPr>
        <w:pStyle w:val="BodyText"/>
        <w:ind w:start="450" w:end="0"/>
        <w:jc w:val="both"/>
        <w:rPr>
          <w:b/>
          <w:bCs/>
        </w:rPr>
      </w:pPr>
      <w:r>
        <w:rPr>
          <w:b/>
          <w:bCs/>
        </w:rPr>
      </w:r>
    </w:p>
    <w:p>
      <w:pPr>
        <w:pStyle w:val="BodyText"/>
        <w:ind w:start="450" w:end="0"/>
        <w:jc w:val="both"/>
        <w:rPr>
          <w:b/>
          <w:bCs/>
        </w:rPr>
      </w:pPr>
      <w:r>
        <w:rPr>
          <w:b/>
          <w:bCs/>
        </w:rPr>
      </w:r>
    </w:p>
    <w:p>
      <w:pPr>
        <w:pStyle w:val="BodyTextIndent2"/>
        <w:numPr>
          <w:ilvl w:val="0"/>
          <w:numId w:val="4"/>
        </w:numPr>
        <w:jc w:val="both"/>
        <w:rPr/>
      </w:pPr>
      <w:r>
        <w:rPr/>
        <w:t>Implement FAS 133 with no adverse impact to income.</w:t>
      </w:r>
    </w:p>
    <w:p>
      <w:pPr>
        <w:pStyle w:val="BodyTextIndent2"/>
        <w:ind w:start="900" w:end="0"/>
        <w:jc w:val="both"/>
        <w:rPr>
          <w:b/>
          <w:bCs/>
          <w:u w:val="single"/>
        </w:rPr>
      </w:pPr>
      <w:r>
        <w:rPr>
          <w:b/>
          <w:bCs/>
          <w:u w:val="single"/>
        </w:rPr>
      </w:r>
    </w:p>
    <w:p>
      <w:pPr>
        <w:pStyle w:val="BodyTextIndent2"/>
        <w:ind w:start="900" w:end="0"/>
        <w:jc w:val="both"/>
        <w:rPr/>
      </w:pPr>
      <w:r>
        <w:rPr>
          <w:b/>
          <w:bCs/>
          <w:u w:val="single"/>
        </w:rPr>
        <w:t>STATUS</w:t>
      </w:r>
      <w:r>
        <w:rPr>
          <w:b/>
          <w:bCs/>
        </w:rPr>
        <w:t>:</w:t>
      </w:r>
      <w:r>
        <w:rPr/>
        <w:t xml:space="preserve">  </w:t>
      </w:r>
      <w:r>
        <w:rPr>
          <w:b/>
          <w:bCs/>
        </w:rPr>
        <w:t>FAS 133 was implemented with no adverse impact to income.</w:t>
      </w:r>
    </w:p>
    <w:p>
      <w:pPr>
        <w:pStyle w:val="Normal"/>
        <w:jc w:val="both"/>
        <w:rPr>
          <w:sz w:val="24"/>
        </w:rPr>
      </w:pPr>
      <w:r>
        <w:rPr>
          <w:sz w:val="24"/>
        </w:rPr>
      </w:r>
    </w:p>
    <w:p>
      <w:pPr>
        <w:pStyle w:val="BodyTextIndent2"/>
        <w:numPr>
          <w:ilvl w:val="0"/>
          <w:numId w:val="4"/>
        </w:numPr>
        <w:jc w:val="both"/>
        <w:rPr/>
      </w:pPr>
      <w:r>
        <w:rPr/>
        <w:t>Develop new business opportunities that will produce at least $15 million of recurring operating income by 2002.  New business opportunities will produce at least a 15% IRR.</w:t>
      </w:r>
    </w:p>
    <w:p>
      <w:pPr>
        <w:pStyle w:val="BodyTextIndent2"/>
        <w:ind w:hanging="0" w:start="0" w:end="0"/>
        <w:jc w:val="both"/>
        <w:rPr/>
      </w:pPr>
      <w:r>
        <w:rPr/>
      </w:r>
    </w:p>
    <w:p>
      <w:pPr>
        <w:pStyle w:val="Normal"/>
        <w:autoSpaceDE w:val="false"/>
        <w:ind w:start="450" w:end="0"/>
        <w:jc w:val="both"/>
        <w:rPr/>
      </w:pPr>
      <w:r>
        <w:rPr>
          <w:b/>
          <w:bCs/>
          <w:sz w:val="24"/>
          <w:szCs w:val="24"/>
          <w:u w:val="single"/>
        </w:rPr>
        <w:t>STATUS</w:t>
      </w:r>
      <w:r>
        <w:rPr>
          <w:b/>
          <w:bCs/>
          <w:sz w:val="24"/>
          <w:szCs w:val="24"/>
        </w:rPr>
        <w:t>:</w:t>
      </w:r>
      <w:r>
        <w:rPr>
          <w:sz w:val="24"/>
          <w:szCs w:val="24"/>
        </w:rPr>
        <w:t xml:space="preserve">  </w:t>
      </w:r>
      <w:r>
        <w:rPr>
          <w:b/>
          <w:bCs/>
          <w:sz w:val="24"/>
          <w:szCs w:val="24"/>
        </w:rPr>
        <w:t>We have identified multiple new business opportunities to achieve the 2002 operating income goal, including: joint venture pipeline developments with Kinder Morgan (TransPecos) and Questar (Southern Trails); acquiring and converting existing oil pipelines to natural gas service (Pacer, Blueberry); developing pipeline expansion projects (Arizona, Georgia, and Alabama); capturing waste heat at TW + FGT compressor stations and converting to power; acquiring the Calypso and Bahamas LNG developments from EWS; acquiring interstate natural gas pipeline companies (Questar, Williams, Kinder Morgan); and promoting gas storage business developments.  We are developing strategies to monetize successful projects for 2002 income recognition.</w:t>
      </w:r>
    </w:p>
    <w:p>
      <w:pPr>
        <w:pStyle w:val="Normal"/>
        <w:autoSpaceDE w:val="false"/>
        <w:ind w:hanging="450" w:start="450" w:end="0"/>
        <w:jc w:val="both"/>
        <w:rPr>
          <w:b/>
          <w:bCs/>
          <w:sz w:val="24"/>
          <w:szCs w:val="24"/>
        </w:rPr>
      </w:pPr>
      <w:r>
        <w:rPr>
          <w:b/>
          <w:bCs/>
          <w:sz w:val="24"/>
          <w:szCs w:val="24"/>
        </w:rPr>
      </w:r>
    </w:p>
    <w:p>
      <w:pPr>
        <w:pStyle w:val="BodyTextIndent2"/>
        <w:numPr>
          <w:ilvl w:val="0"/>
          <w:numId w:val="4"/>
        </w:numPr>
        <w:jc w:val="both"/>
        <w:rPr/>
      </w:pPr>
      <w:r>
        <w:rPr/>
        <w:t>Monetize the Sunniland Pipeline System and other FGT R-O-W with broadband value.  Goal is to produce $10 million of income.</w:t>
      </w:r>
    </w:p>
    <w:p>
      <w:pPr>
        <w:pStyle w:val="BodyTextIndent2"/>
        <w:ind w:hanging="0" w:end="0"/>
        <w:jc w:val="both"/>
        <w:rPr>
          <w:b/>
          <w:bCs/>
          <w:u w:val="single"/>
        </w:rPr>
      </w:pPr>
      <w:r>
        <w:rPr>
          <w:b/>
          <w:bCs/>
          <w:u w:val="single"/>
        </w:rPr>
      </w:r>
    </w:p>
    <w:p>
      <w:pPr>
        <w:pStyle w:val="BodyTextIndent2"/>
        <w:ind w:hanging="0" w:end="0"/>
        <w:jc w:val="both"/>
        <w:rPr/>
      </w:pPr>
      <w:r>
        <w:rPr>
          <w:b/>
          <w:bCs/>
          <w:u w:val="single"/>
        </w:rPr>
        <w:t>STATUS</w:t>
      </w:r>
      <w:r>
        <w:rPr>
          <w:b/>
          <w:bCs/>
        </w:rPr>
        <w:t>:</w:t>
      </w:r>
      <w:r>
        <w:rPr/>
        <w:t xml:space="preserve">  </w:t>
      </w:r>
      <w:r>
        <w:rPr>
          <w:b/>
          <w:bCs/>
        </w:rPr>
        <w:t>Due to the downturn in broadband economics, no acceptable offers were made for the Sunniland or FGT rights-of-way.</w:t>
      </w:r>
    </w:p>
    <w:p>
      <w:pPr>
        <w:pStyle w:val="BodyTextIndent2"/>
        <w:ind w:hanging="0" w:start="0" w:end="0"/>
        <w:jc w:val="both"/>
        <w:rPr>
          <w:b/>
          <w:bCs/>
        </w:rPr>
      </w:pPr>
      <w:r>
        <w:rPr>
          <w:b/>
          <w:bCs/>
        </w:rPr>
      </w:r>
    </w:p>
    <w:p>
      <w:pPr>
        <w:pStyle w:val="BodyTextIndent2"/>
        <w:numPr>
          <w:ilvl w:val="0"/>
          <w:numId w:val="8"/>
        </w:numPr>
        <w:jc w:val="both"/>
        <w:rPr/>
      </w:pPr>
      <w:r>
        <w:rPr/>
        <w:t>Determine the viability of a TW Expansion and, if viable, file a certificate by second quarter, 2001.</w:t>
      </w:r>
    </w:p>
    <w:p>
      <w:pPr>
        <w:pStyle w:val="BodyTextIndent2"/>
        <w:ind w:hanging="0" w:end="0"/>
        <w:jc w:val="both"/>
        <w:rPr>
          <w:b/>
          <w:bCs/>
          <w:u w:val="single"/>
        </w:rPr>
      </w:pPr>
      <w:r>
        <w:rPr>
          <w:b/>
          <w:bCs/>
          <w:u w:val="single"/>
        </w:rPr>
      </w:r>
    </w:p>
    <w:p>
      <w:pPr>
        <w:pStyle w:val="BodyTextIndent2"/>
        <w:ind w:hanging="0" w:end="0"/>
        <w:jc w:val="both"/>
        <w:rPr/>
      </w:pPr>
      <w:r>
        <w:rPr>
          <w:b/>
          <w:bCs/>
          <w:u w:val="single"/>
        </w:rPr>
        <w:t>STATUS</w:t>
      </w:r>
      <w:r>
        <w:rPr>
          <w:b/>
          <w:bCs/>
        </w:rPr>
        <w:t>:</w:t>
      </w:r>
      <w:r>
        <w:rPr/>
        <w:t xml:space="preserve">  </w:t>
      </w:r>
      <w:r>
        <w:rPr>
          <w:b/>
          <w:bCs/>
        </w:rPr>
        <w:t>Transwestern filed a certificate with the FERC in May, 2001, seeking authorization to add new facilities that would expand its system capacity by 150 MMcf/D (Red Rock Expansion).  On July 16, 2001, the FERC approved Transwestern’s expansion.  The project will be placed into service in two phases with Phase I (120 MMcf/D) due to be in-service on June 1, 2002.</w:t>
      </w:r>
    </w:p>
    <w:p>
      <w:pPr>
        <w:pStyle w:val="BodyTextIndent2"/>
        <w:ind w:hanging="0" w:start="0" w:end="0"/>
        <w:jc w:val="both"/>
        <w:rPr/>
      </w:pPr>
      <w:r>
        <w:rPr/>
        <w:t xml:space="preserve"> </w:t>
      </w:r>
    </w:p>
    <w:p>
      <w:pPr>
        <w:pStyle w:val="BodyTextIndent2"/>
        <w:ind w:firstLine="360" w:start="-360" w:end="0"/>
        <w:jc w:val="both"/>
        <w:rPr/>
      </w:pPr>
      <w:r>
        <w:rPr/>
        <w:t>11.  Finalize a new south-end business strategy for NNG and implement key action items by</w:t>
      </w:r>
    </w:p>
    <w:p>
      <w:pPr>
        <w:pStyle w:val="BodyTextIndent2"/>
        <w:ind w:firstLine="720" w:start="-360" w:end="0"/>
        <w:jc w:val="both"/>
        <w:rPr/>
      </w:pPr>
      <w:r>
        <w:rPr/>
        <w:t xml:space="preserve"> </w:t>
      </w:r>
      <w:r>
        <w:rPr/>
        <w:t>third quarter, 2001.</w:t>
      </w:r>
    </w:p>
    <w:p>
      <w:pPr>
        <w:pStyle w:val="BodyTextIndent2"/>
        <w:ind w:firstLine="720" w:start="-360" w:end="0"/>
        <w:jc w:val="both"/>
        <w:rPr>
          <w:b/>
          <w:bCs/>
          <w:u w:val="single"/>
        </w:rPr>
      </w:pPr>
      <w:r>
        <w:rPr>
          <w:b/>
          <w:bCs/>
          <w:u w:val="single"/>
        </w:rPr>
      </w:r>
    </w:p>
    <w:p>
      <w:pPr>
        <w:pStyle w:val="BodyText"/>
        <w:ind w:start="450" w:end="0"/>
        <w:jc w:val="both"/>
        <w:rPr/>
      </w:pPr>
      <w:r>
        <w:rPr>
          <w:b/>
          <w:bCs/>
          <w:u w:val="single"/>
        </w:rPr>
        <w:t>STATUS</w:t>
      </w:r>
      <w:r>
        <w:rPr>
          <w:b/>
          <w:bCs/>
        </w:rPr>
        <w:t>:  A new south-end strategy was finalized and portions placed into effect already.  Additional transport volumes have been contracted from Northern’s market area with delivery to interconnects with various Texas intrastate parties and with Transwestern.  In addition, modifications were implemented in regard to fuel and UAF charges for receipt of gas in Northern’s market area with deliveries to the Permian area.  The strategy also calls for the divestiture of assets in the Beaver and Hugoton areas.  The asset divestiture is in process.</w:t>
      </w:r>
      <w:r>
        <w:br w:type="page"/>
      </w:r>
    </w:p>
    <w:p>
      <w:pPr>
        <w:pStyle w:val="Normal"/>
        <w:numPr>
          <w:ilvl w:val="0"/>
          <w:numId w:val="10"/>
        </w:numPr>
        <w:jc w:val="both"/>
        <w:rPr>
          <w:sz w:val="24"/>
        </w:rPr>
      </w:pPr>
      <w:r>
        <w:rPr>
          <w:sz w:val="24"/>
        </w:rPr>
        <w:t xml:space="preserve"> </w:t>
      </w:r>
      <w:r>
        <w:rPr>
          <w:sz w:val="24"/>
        </w:rPr>
        <w:t>Continue to partner with Information Technology to achieve innovative, cost-effective</w:t>
      </w:r>
    </w:p>
    <w:p>
      <w:pPr>
        <w:pStyle w:val="Normal"/>
        <w:ind w:firstLine="360" w:end="0"/>
        <w:jc w:val="both"/>
        <w:rPr>
          <w:sz w:val="24"/>
        </w:rPr>
      </w:pPr>
      <w:r>
        <w:rPr>
          <w:sz w:val="24"/>
        </w:rPr>
        <w:t xml:space="preserve"> </w:t>
      </w:r>
      <w:r>
        <w:rPr>
          <w:sz w:val="24"/>
        </w:rPr>
        <w:t>overall customer service strategies.</w:t>
      </w:r>
    </w:p>
    <w:p>
      <w:pPr>
        <w:pStyle w:val="Normal"/>
        <w:numPr>
          <w:ilvl w:val="0"/>
          <w:numId w:val="3"/>
        </w:numPr>
        <w:tabs>
          <w:tab w:val="clear" w:pos="720"/>
          <w:tab w:val="left" w:pos="1284" w:leader="none"/>
        </w:tabs>
        <w:jc w:val="both"/>
        <w:rPr>
          <w:sz w:val="24"/>
        </w:rPr>
      </w:pPr>
      <w:r>
        <w:rPr>
          <w:sz w:val="24"/>
        </w:rPr>
        <w:t>In conjunction with the ETS eBusiness Model, create a Market Services eBusiness strategy that extends and enhances our current capabilities by creating new eBusiness opportunities to increase revenue and/or improve efficiency.</w:t>
      </w:r>
    </w:p>
    <w:p>
      <w:pPr>
        <w:pStyle w:val="Normal"/>
        <w:numPr>
          <w:ilvl w:val="0"/>
          <w:numId w:val="3"/>
        </w:numPr>
        <w:tabs>
          <w:tab w:val="clear" w:pos="720"/>
          <w:tab w:val="left" w:pos="1284" w:leader="none"/>
        </w:tabs>
        <w:jc w:val="both"/>
        <w:rPr>
          <w:sz w:val="24"/>
        </w:rPr>
      </w:pPr>
      <w:r>
        <w:rPr>
          <w:sz w:val="24"/>
        </w:rPr>
        <w:t>Continue to expand the EnronOnline customer interface for ETS pipeline service offerings.  (For example, posting all FGT IT, TW Options.)</w:t>
      </w:r>
    </w:p>
    <w:p>
      <w:pPr>
        <w:pStyle w:val="Normal"/>
        <w:numPr>
          <w:ilvl w:val="0"/>
          <w:numId w:val="3"/>
        </w:numPr>
        <w:tabs>
          <w:tab w:val="clear" w:pos="720"/>
          <w:tab w:val="left" w:pos="1296" w:leader="none"/>
        </w:tabs>
        <w:jc w:val="both"/>
        <w:rPr>
          <w:sz w:val="24"/>
        </w:rPr>
      </w:pPr>
      <w:r>
        <w:rPr>
          <w:sz w:val="24"/>
        </w:rPr>
        <w:t>Develop a new contract system that provides the capability for interactive, real time contracting by the ETS pipelines where the customer interface is integrated with an electronic platform, i.e., EnronOnline.</w:t>
      </w:r>
    </w:p>
    <w:p>
      <w:pPr>
        <w:pStyle w:val="Normal"/>
        <w:numPr>
          <w:ilvl w:val="0"/>
          <w:numId w:val="9"/>
        </w:numPr>
        <w:tabs>
          <w:tab w:val="clear" w:pos="720"/>
          <w:tab w:val="left" w:pos="1296" w:leader="none"/>
          <w:tab w:val="left" w:pos="1440" w:leader="none"/>
        </w:tabs>
        <w:ind w:hanging="360" w:start="1440" w:end="0"/>
        <w:jc w:val="both"/>
        <w:rPr>
          <w:sz w:val="24"/>
        </w:rPr>
      </w:pPr>
      <w:r>
        <w:rPr>
          <w:sz w:val="24"/>
        </w:rPr>
        <w:t>Implement the contract system for FGT by the end of the third quarter, 2001.</w:t>
      </w:r>
    </w:p>
    <w:p>
      <w:pPr>
        <w:pStyle w:val="Normal"/>
        <w:numPr>
          <w:ilvl w:val="0"/>
          <w:numId w:val="7"/>
        </w:numPr>
        <w:tabs>
          <w:tab w:val="clear" w:pos="720"/>
          <w:tab w:val="left" w:pos="1296" w:leader="none"/>
          <w:tab w:val="left" w:pos="1440" w:leader="none"/>
        </w:tabs>
        <w:ind w:hanging="360" w:start="1440" w:end="0"/>
        <w:jc w:val="both"/>
        <w:rPr>
          <w:sz w:val="24"/>
        </w:rPr>
      </w:pPr>
      <w:r>
        <w:rPr>
          <w:sz w:val="24"/>
        </w:rPr>
        <w:t>Implement the contract system for NNG by the end of the fourth quarter, 2001.</w:t>
      </w:r>
    </w:p>
    <w:p>
      <w:pPr>
        <w:pStyle w:val="BodyText"/>
        <w:tabs>
          <w:tab w:val="clear" w:pos="720"/>
          <w:tab w:val="left" w:pos="450" w:leader="none"/>
        </w:tabs>
        <w:jc w:val="both"/>
        <w:rPr>
          <w:sz w:val="24"/>
        </w:rPr>
      </w:pPr>
      <w:r>
        <w:rPr>
          <w:sz w:val="24"/>
        </w:rPr>
      </w:r>
    </w:p>
    <w:p>
      <w:pPr>
        <w:pStyle w:val="BodyText"/>
        <w:tabs>
          <w:tab w:val="clear" w:pos="720"/>
          <w:tab w:val="left" w:pos="450" w:leader="none"/>
        </w:tabs>
        <w:jc w:val="both"/>
        <w:rPr/>
      </w:pPr>
      <w:r>
        <w:rPr/>
        <w:tab/>
      </w:r>
      <w:r>
        <w:rPr>
          <w:b/>
          <w:bCs/>
          <w:u w:val="single"/>
        </w:rPr>
        <w:t>STATUS</w:t>
      </w:r>
      <w:r>
        <w:rPr>
          <w:b/>
          <w:bCs/>
        </w:rPr>
        <w:t>:</w:t>
      </w:r>
      <w:r>
        <w:rPr/>
        <w:t xml:space="preserve">  </w:t>
      </w:r>
      <w:r>
        <w:rPr>
          <w:b/>
          <w:bCs/>
        </w:rPr>
        <w:t xml:space="preserve">It has been nine months since we began posting Pipeline Capacity on </w:t>
      </w:r>
    </w:p>
    <w:p>
      <w:pPr>
        <w:pStyle w:val="BodyText"/>
        <w:tabs>
          <w:tab w:val="clear" w:pos="720"/>
          <w:tab w:val="left" w:pos="450" w:leader="none"/>
        </w:tabs>
        <w:jc w:val="both"/>
        <w:rPr>
          <w:b/>
          <w:bCs/>
        </w:rPr>
      </w:pPr>
      <w:r>
        <w:rPr>
          <w:b/>
          <w:bCs/>
        </w:rPr>
        <w:tab/>
        <w:t xml:space="preserve">EnronOnline.  We were the first, and right now, still the only pipeline posting </w:t>
      </w:r>
    </w:p>
    <w:p>
      <w:pPr>
        <w:pStyle w:val="BodyText"/>
        <w:tabs>
          <w:tab w:val="clear" w:pos="720"/>
          <w:tab w:val="left" w:pos="450" w:leader="none"/>
        </w:tabs>
        <w:jc w:val="both"/>
        <w:rPr>
          <w:b/>
          <w:bCs/>
        </w:rPr>
      </w:pPr>
      <w:r>
        <w:rPr>
          <w:b/>
          <w:bCs/>
        </w:rPr>
        <w:tab/>
        <w:t xml:space="preserve">capacity via a mechanism such as EnronOnline.  We have now reached deal number </w:t>
      </w:r>
    </w:p>
    <w:p>
      <w:pPr>
        <w:pStyle w:val="BodyText"/>
        <w:tabs>
          <w:tab w:val="clear" w:pos="720"/>
          <w:tab w:val="left" w:pos="450" w:leader="none"/>
        </w:tabs>
        <w:jc w:val="both"/>
        <w:rPr>
          <w:b/>
          <w:bCs/>
        </w:rPr>
      </w:pPr>
      <w:r>
        <w:rPr>
          <w:b/>
          <w:bCs/>
        </w:rPr>
        <w:tab/>
        <w:t xml:space="preserve">200 and proven the business model for this manner of posting Pipeline Capacity.  The </w:t>
      </w:r>
    </w:p>
    <w:p>
      <w:pPr>
        <w:pStyle w:val="BodyText"/>
        <w:tabs>
          <w:tab w:val="clear" w:pos="720"/>
          <w:tab w:val="left" w:pos="450" w:leader="none"/>
        </w:tabs>
        <w:jc w:val="both"/>
        <w:rPr>
          <w:b/>
          <w:bCs/>
        </w:rPr>
      </w:pPr>
      <w:r>
        <w:rPr>
          <w:b/>
          <w:bCs/>
        </w:rPr>
        <w:tab/>
        <w:t xml:space="preserve">interest in pipelines, outside of Enron, to use EnronOnline for their Pipeline Capacity </w:t>
      </w:r>
    </w:p>
    <w:p>
      <w:pPr>
        <w:pStyle w:val="BodyText"/>
        <w:tabs>
          <w:tab w:val="clear" w:pos="720"/>
          <w:tab w:val="left" w:pos="450" w:leader="none"/>
        </w:tabs>
        <w:jc w:val="both"/>
        <w:rPr>
          <w:b/>
          <w:bCs/>
        </w:rPr>
      </w:pPr>
      <w:r>
        <w:rPr>
          <w:b/>
          <w:bCs/>
        </w:rPr>
        <w:tab/>
        <w:t>seems to be intensifying.</w:t>
      </w:r>
    </w:p>
    <w:p>
      <w:pPr>
        <w:pStyle w:val="Normal"/>
        <w:tabs>
          <w:tab w:val="clear" w:pos="720"/>
          <w:tab w:val="left" w:pos="450" w:leader="none"/>
        </w:tabs>
        <w:jc w:val="both"/>
        <w:rPr>
          <w:b/>
          <w:bCs/>
          <w:sz w:val="24"/>
        </w:rPr>
      </w:pPr>
      <w:r>
        <w:rPr>
          <w:b/>
          <w:bCs/>
          <w:sz w:val="24"/>
        </w:rPr>
      </w:r>
    </w:p>
    <w:p>
      <w:pPr>
        <w:pStyle w:val="BodyTextIndent2"/>
        <w:numPr>
          <w:ilvl w:val="0"/>
          <w:numId w:val="10"/>
        </w:numPr>
        <w:jc w:val="both"/>
        <w:rPr/>
      </w:pPr>
      <w:r>
        <w:rPr/>
        <w:t>Produce $3 million of incremental margins/expense reductions from new and expanded   services from ETS’ Operations group.</w:t>
      </w:r>
    </w:p>
    <w:p>
      <w:pPr>
        <w:pStyle w:val="BodyTextIndent2"/>
        <w:ind w:hanging="0" w:start="360" w:end="0"/>
        <w:jc w:val="both"/>
        <w:rPr>
          <w:b/>
          <w:bCs/>
          <w:u w:val="single"/>
        </w:rPr>
      </w:pPr>
      <w:r>
        <w:rPr>
          <w:b/>
          <w:bCs/>
          <w:u w:val="single"/>
        </w:rPr>
      </w:r>
    </w:p>
    <w:p>
      <w:pPr>
        <w:pStyle w:val="BodyTextIndent2"/>
        <w:ind w:hanging="0" w:start="360" w:end="0"/>
        <w:jc w:val="both"/>
        <w:rPr/>
      </w:pPr>
      <w:r>
        <w:rPr>
          <w:b/>
          <w:bCs/>
          <w:u w:val="single"/>
        </w:rPr>
        <w:t>STATUS</w:t>
      </w:r>
      <w:r>
        <w:rPr>
          <w:b/>
          <w:bCs/>
        </w:rPr>
        <w:t>:</w:t>
      </w:r>
      <w:r>
        <w:rPr/>
        <w:t xml:space="preserve">  </w:t>
      </w:r>
      <w:r>
        <w:rPr>
          <w:b/>
          <w:bCs/>
        </w:rPr>
        <w:t>The ETS Operations group will produce $3 million of incremental operating income from the new machine shop at Clifton.  In addition, they are $__________ under budget for 2001 in operating expenses.</w:t>
      </w:r>
    </w:p>
    <w:p>
      <w:pPr>
        <w:pStyle w:val="BodyTextIndent2"/>
        <w:ind w:hanging="0" w:start="0" w:end="0"/>
        <w:jc w:val="both"/>
        <w:rPr>
          <w:b/>
          <w:bCs/>
        </w:rPr>
      </w:pPr>
      <w:r>
        <w:rPr>
          <w:b/>
          <w:bCs/>
        </w:rPr>
      </w:r>
    </w:p>
    <w:p>
      <w:pPr>
        <w:pStyle w:val="BodyTextIndent2"/>
        <w:numPr>
          <w:ilvl w:val="0"/>
          <w:numId w:val="5"/>
        </w:numPr>
        <w:tabs>
          <w:tab w:val="clear" w:pos="720"/>
          <w:tab w:val="left" w:pos="450" w:leader="none"/>
        </w:tabs>
        <w:jc w:val="both"/>
        <w:rPr/>
      </w:pPr>
      <w:r>
        <w:rPr/>
        <w:t>Achieve safety record that ranks in the top quartile of the industry for Disabling and Vehicle accidents.</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(Phil Lowry to add status response.)</w:t>
      </w:r>
    </w:p>
    <w:p>
      <w:pPr>
        <w:pStyle w:val="BodyTextIndent2"/>
        <w:tabs>
          <w:tab w:val="clear" w:pos="720"/>
          <w:tab w:val="left" w:pos="450" w:leader="none"/>
        </w:tabs>
        <w:ind w:hanging="0" w:start="0" w:end="0"/>
        <w:jc w:val="both"/>
        <w:rPr>
          <w:b/>
          <w:bCs/>
        </w:rPr>
      </w:pPr>
      <w:r>
        <w:rPr>
          <w:b/>
          <w:bCs/>
        </w:rPr>
      </w:r>
    </w:p>
    <w:p>
      <w:pPr>
        <w:pStyle w:val="BodyTextIndent2"/>
        <w:numPr>
          <w:ilvl w:val="0"/>
          <w:numId w:val="5"/>
        </w:numPr>
        <w:tabs>
          <w:tab w:val="clear" w:pos="720"/>
          <w:tab w:val="left" w:pos="450" w:leader="none"/>
        </w:tabs>
        <w:jc w:val="both"/>
        <w:rPr/>
      </w:pPr>
      <w:r>
        <w:rPr/>
        <w:t>Achieve $5.8 million of incremental revenue/expense reductions from combining ETS/EOTT operations.</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The ETS/EOTT field and technical operations have been successfully combined.  Cost savings of at least $5.8 million has been achieved.</w:t>
      </w:r>
    </w:p>
    <w:p>
      <w:pPr>
        <w:pStyle w:val="BodyTextIndent2"/>
        <w:tabs>
          <w:tab w:val="clear" w:pos="720"/>
          <w:tab w:val="left" w:pos="450" w:leader="none"/>
        </w:tabs>
        <w:ind w:hanging="0" w:start="0" w:end="0"/>
        <w:jc w:val="both"/>
        <w:rPr>
          <w:b/>
          <w:bCs/>
        </w:rPr>
      </w:pPr>
      <w:r>
        <w:rPr>
          <w:b/>
          <w:bCs/>
        </w:rPr>
      </w:r>
    </w:p>
    <w:p>
      <w:pPr>
        <w:pStyle w:val="BodyTextIndent2"/>
        <w:numPr>
          <w:ilvl w:val="0"/>
          <w:numId w:val="5"/>
        </w:numPr>
        <w:tabs>
          <w:tab w:val="clear" w:pos="720"/>
          <w:tab w:val="left" w:pos="450" w:leader="none"/>
        </w:tabs>
        <w:jc w:val="both"/>
        <w:rPr/>
      </w:pPr>
      <w:r>
        <w:rPr/>
        <w:t>Develop a strategy for monetizing NNG’s Equivalent Unit Risk Account balance by fourth quarter, 2001.</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NNG put into effect increased rates subject to refund, that provide for recovery of return and related income taxes on the account balance as of March 31</w:t>
      </w:r>
      <w:r>
        <w:rPr>
          <w:b/>
          <w:bCs/>
          <w:vertAlign w:val="superscript"/>
        </w:rPr>
        <w:t>st</w:t>
      </w:r>
      <w:r>
        <w:rPr>
          <w:b/>
          <w:bCs/>
        </w:rPr>
        <w:t xml:space="preserve"> each year.  Settlement discussions are ongoing with NNG customers. The settlement would establish continued recovery of return and tax, revise the derivation of the monthly imbalance price and also permit some recovery of the account balance with the issue primarily reserved for NNG’s next rate case.</w:t>
      </w:r>
    </w:p>
    <w:p>
      <w:pPr>
        <w:pStyle w:val="BodyTextIndent2"/>
        <w:tabs>
          <w:tab w:val="clear" w:pos="720"/>
          <w:tab w:val="left" w:pos="450" w:leader="none"/>
        </w:tabs>
        <w:ind w:hanging="0" w:start="0" w:end="0"/>
        <w:jc w:val="both"/>
        <w:rPr>
          <w:b/>
          <w:bCs/>
        </w:rPr>
      </w:pPr>
      <w:r>
        <w:rPr>
          <w:b/>
          <w:bCs/>
        </w:rPr>
      </w:r>
    </w:p>
    <w:p>
      <w:pPr>
        <w:pStyle w:val="BodyTextIndent2"/>
        <w:numPr>
          <w:ilvl w:val="0"/>
          <w:numId w:val="5"/>
        </w:numPr>
        <w:tabs>
          <w:tab w:val="clear" w:pos="720"/>
          <w:tab w:val="left" w:pos="450" w:leader="none"/>
        </w:tabs>
        <w:jc w:val="both"/>
        <w:rPr/>
      </w:pPr>
      <w:r>
        <w:rPr/>
        <w:t>Resolve Order No. 637 proceedings without an incremental outlay in systems expenditures.</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 xml:space="preserve">Northern held settlement discussions on it’s 637 docket without agreement on any specific modifications.  The SLA settlement does provide some limited resolution.  Transwestern has not held any settlement discussions at this time.  The FERC has indicated that they plan to process the cases in the near term.  </w:t>
      </w:r>
    </w:p>
    <w:p>
      <w:pPr>
        <w:pStyle w:val="BodyTextIndent2"/>
        <w:tabs>
          <w:tab w:val="clear" w:pos="720"/>
          <w:tab w:val="left" w:pos="450" w:leader="none"/>
        </w:tabs>
        <w:ind w:hanging="0" w:start="0" w:end="0"/>
        <w:jc w:val="both"/>
        <w:rPr>
          <w:b/>
          <w:bCs/>
        </w:rPr>
      </w:pPr>
      <w:r>
        <w:rPr>
          <w:b/>
          <w:bCs/>
        </w:rPr>
      </w:r>
    </w:p>
    <w:p>
      <w:pPr>
        <w:pStyle w:val="BodyTextIndent2"/>
        <w:numPr>
          <w:ilvl w:val="0"/>
          <w:numId w:val="5"/>
        </w:numPr>
        <w:tabs>
          <w:tab w:val="clear" w:pos="720"/>
          <w:tab w:val="left" w:pos="450" w:leader="none"/>
        </w:tabs>
        <w:jc w:val="both"/>
        <w:rPr/>
      </w:pPr>
      <w:r>
        <w:rPr/>
        <w:t>Work towards adoption of pipeline safety rules that allow appropriate range of testing technologies.</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(Joe Hartsoe to add status response.)</w:t>
      </w:r>
    </w:p>
    <w:p>
      <w:pPr>
        <w:pStyle w:val="BodyTextIndent2"/>
        <w:tabs>
          <w:tab w:val="clear" w:pos="720"/>
          <w:tab w:val="left" w:pos="450" w:leader="none"/>
        </w:tabs>
        <w:ind w:hanging="0" w:start="0" w:end="0"/>
        <w:jc w:val="both"/>
        <w:rPr/>
      </w:pPr>
      <w:r>
        <w:rPr/>
      </w:r>
    </w:p>
    <w:p>
      <w:pPr>
        <w:pStyle w:val="BodyTextIndent2"/>
        <w:numPr>
          <w:ilvl w:val="0"/>
          <w:numId w:val="5"/>
        </w:numPr>
        <w:tabs>
          <w:tab w:val="clear" w:pos="720"/>
          <w:tab w:val="left" w:pos="450" w:leader="none"/>
        </w:tabs>
        <w:jc w:val="both"/>
        <w:rPr/>
      </w:pPr>
      <w:r>
        <w:rPr/>
        <w:t>Resolve the Navajo R-O-W issue via settlement agreement by June 1, 2001, or commence litigation.</w:t>
      </w:r>
    </w:p>
    <w:p>
      <w:pPr>
        <w:pStyle w:val="BodyTextIndent2"/>
        <w:tabs>
          <w:tab w:val="clear" w:pos="720"/>
          <w:tab w:val="left" w:pos="450" w:leader="none"/>
        </w:tabs>
        <w:ind w:hanging="0" w:start="420" w:end="0"/>
        <w:jc w:val="both"/>
        <w:rPr>
          <w:b/>
          <w:bCs/>
          <w:u w:val="single"/>
        </w:rPr>
      </w:pPr>
      <w:r>
        <w:rPr>
          <w:b/>
          <w:bCs/>
          <w:u w:val="single"/>
        </w:rPr>
      </w:r>
    </w:p>
    <w:p>
      <w:pPr>
        <w:pStyle w:val="BodyTextIndent2"/>
        <w:tabs>
          <w:tab w:val="clear" w:pos="720"/>
          <w:tab w:val="left" w:pos="450" w:leader="none"/>
        </w:tabs>
        <w:ind w:hanging="0" w:start="420" w:end="0"/>
        <w:jc w:val="both"/>
        <w:rPr/>
      </w:pPr>
      <w:r>
        <w:rPr>
          <w:b/>
          <w:bCs/>
          <w:u w:val="single"/>
        </w:rPr>
        <w:t>STATUS</w:t>
      </w:r>
      <w:r>
        <w:rPr>
          <w:b/>
          <w:bCs/>
        </w:rPr>
        <w:t>:</w:t>
      </w:r>
      <w:r>
        <w:rPr/>
        <w:t xml:space="preserve">  </w:t>
      </w:r>
      <w:r>
        <w:rPr>
          <w:b/>
          <w:bCs/>
        </w:rPr>
        <w:t>A settlement agreement resolving all issues has been executed.</w:t>
      </w:r>
    </w:p>
    <w:p>
      <w:pPr>
        <w:pStyle w:val="BodyTextIndent2"/>
        <w:tabs>
          <w:tab w:val="clear" w:pos="720"/>
          <w:tab w:val="left" w:pos="450" w:leader="none"/>
        </w:tabs>
        <w:ind w:hanging="0" w:start="0" w:end="0"/>
        <w:jc w:val="both"/>
        <w:rPr>
          <w:sz w:val="16"/>
        </w:rPr>
      </w:pPr>
      <w:r>
        <w:rPr>
          <w:sz w:val="16"/>
        </w:rPr>
      </w:r>
    </w:p>
    <w:p>
      <w:pPr>
        <w:pStyle w:val="BodyTextIndent2"/>
        <w:tabs>
          <w:tab w:val="clear" w:pos="720"/>
          <w:tab w:val="left" w:pos="450" w:leader="none"/>
        </w:tabs>
        <w:ind w:hanging="0" w:start="0" w:end="0"/>
        <w:jc w:val="both"/>
        <w:rPr>
          <w:sz w:val="16"/>
        </w:rPr>
      </w:pPr>
      <w:r>
        <w:rPr>
          <w:sz w:val="16"/>
        </w:rPr>
      </w:r>
    </w:p>
    <w:p>
      <w:pPr>
        <w:pStyle w:val="BodyTextIndent2"/>
        <w:tabs>
          <w:tab w:val="clear" w:pos="720"/>
          <w:tab w:val="left" w:pos="450" w:leader="none"/>
        </w:tabs>
        <w:ind w:hanging="0" w:start="0" w:end="0"/>
        <w:jc w:val="both"/>
        <w:rPr>
          <w:sz w:val="16"/>
        </w:rPr>
      </w:pPr>
      <w:r>
        <w:rPr>
          <w:sz w:val="16"/>
        </w:rPr>
      </w:r>
    </w:p>
    <w:p>
      <w:pPr>
        <w:pStyle w:val="BodyTextIndent2"/>
        <w:tabs>
          <w:tab w:val="clear" w:pos="720"/>
          <w:tab w:val="left" w:pos="450" w:leader="none"/>
        </w:tabs>
        <w:ind w:hanging="0" w:start="0" w:end="0"/>
        <w:rPr>
          <w:sz w:val="16"/>
        </w:rPr>
      </w:pPr>
      <w:r>
        <w:rPr>
          <w:sz w:val="16"/>
        </w:rPr>
        <w:t>H:2001 August Status Report on ETS Goals &amp; Objectives.doc/cs</w:t>
      </w:r>
    </w:p>
    <w:sectPr>
      <w:footerReference w:type="default" r:id="rId2"/>
      <w:type w:val="nextPage"/>
      <w:pgSz w:w="12240" w:h="15840"/>
      <w:pgMar w:left="1800" w:right="1166"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58.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lvl>
  </w:abstractNum>
  <w:abstractNum w:abstractNumId="3">
    <w:lvl w:ilvl="0">
      <w:start w:val="1"/>
      <w:numFmt w:val="upperLetter"/>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7"/>
      <w:numFmt w:val="decimal"/>
      <w:lvlText w:val="%1."/>
      <w:lvlJc w:val="start"/>
      <w:pPr>
        <w:tabs>
          <w:tab w:val="num" w:pos="450"/>
        </w:tabs>
        <w:ind w:start="450" w:hanging="450"/>
      </w:pPr>
      <w:rPr/>
    </w:lvl>
  </w:abstractNum>
  <w:abstractNum w:abstractNumId="5">
    <w:lvl w:ilvl="0">
      <w:start w:val="14"/>
      <w:numFmt w:val="decimal"/>
      <w:lvlText w:val="%1."/>
      <w:lvlJc w:val="start"/>
      <w:pPr>
        <w:tabs>
          <w:tab w:val="num" w:pos="420"/>
        </w:tabs>
        <w:ind w:start="420" w:hanging="420"/>
      </w:pPr>
      <w:rPr/>
    </w:lvl>
  </w:abstractNum>
  <w:abstractNum w:abstractNumId="6">
    <w:lvl w:ilvl="0">
      <w:start w:val="2"/>
      <w:numFmt w:val="decimal"/>
      <w:lvlText w:val="%1."/>
      <w:lvlJc w:val="start"/>
      <w:pPr>
        <w:tabs>
          <w:tab w:val="num" w:pos="450"/>
        </w:tabs>
        <w:ind w:start="450" w:hanging="45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0"/>
      <w:numFmt w:val="decimal"/>
      <w:lvlText w:val="%1."/>
      <w:lvlJc w:val="start"/>
      <w:pPr>
        <w:tabs>
          <w:tab w:val="num" w:pos="450"/>
        </w:tabs>
        <w:ind w:start="450" w:hanging="45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2"/>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rFonts w:ascii="Garamond" w:hAnsi="Garamond" w:cs="Garamond"/>
      <w:sz w:val="22"/>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z w:val="24"/>
    </w:rPr>
  </w:style>
  <w:style w:type="paragraph" w:styleId="BodyTextIndent2">
    <w:name w:val="Body Text Indent 2"/>
    <w:basedOn w:val="Normal"/>
    <w:qFormat/>
    <w:pPr>
      <w:ind w:hanging="450" w:start="450" w:end="0"/>
    </w:pPr>
    <w:rPr>
      <w:sz w:val="24"/>
    </w:rPr>
  </w:style>
  <w:style w:type="paragraph" w:styleId="Subtitle">
    <w:name w:val="Subtitle"/>
    <w:basedOn w:val="Normal"/>
    <w:next w:val="BodyText"/>
    <w:qFormat/>
    <w:pPr>
      <w:jc w:val="center"/>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2001-08-23T13:24:00Z</dcterms:created>
  <dc:creator>Cindy J. Stark</dc:creator>
  <dc:description/>
  <dc:language>en-CA</dc:language>
  <cp:lastModifiedBy>jarmstr</cp:lastModifiedBy>
  <cp:lastPrinted>2001-08-24T09:36:00Z</cp:lastPrinted>
  <dcterms:modified xsi:type="dcterms:W3CDTF">2001-08-24T13:25:00Z</dcterms:modified>
  <cp:revision>6</cp:revision>
  <dc:subject/>
  <dc:title>Enron Gas Pipeline Group</dc:title>
</cp:coreProperties>
</file>