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footer2.xml.rels" ContentType="application/vnd.openxmlformats-package.relationships+xml"/>
  <Override PartName="/word/_rels/document.xml.rels" ContentType="application/vnd.openxmlformats-package.relationships+xml"/>
  <Override PartName="/word/_rels/footer1.xml.rels" ContentType="application/vnd.openxmlformats-package.relationship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media/image1.wmf" ContentType="image/x-wmf"/>
  <Override PartName="/word/media/image2.wmf" ContentType="image/x-wmf"/>
  <Override PartName="/word/media/image3.emf" ContentType="image/x-emf"/>
  <Override PartName="/word/media/image4.emf" ContentType="image/x-emf"/>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QTEXT"/>
        <w:spacing w:before="60" w:after="240"/>
        <w:rPr/>
      </w:pPr>
      <w:r>
        <w:rPr/>
      </w:r>
      <w:r>
        <mc:AlternateContent>
          <mc:Choice Requires="wps">
            <w:drawing>
              <wp:anchor behindDoc="0" distT="0" distB="0" distL="274320" distR="274320" simplePos="0" locked="0" layoutInCell="0" allowOverlap="1" relativeHeight="2">
                <wp:simplePos x="0" y="0"/>
                <wp:positionH relativeFrom="page">
                  <wp:posOffset>635</wp:posOffset>
                </wp:positionH>
                <wp:positionV relativeFrom="page">
                  <wp:posOffset>635</wp:posOffset>
                </wp:positionV>
                <wp:extent cx="7772400" cy="1437640"/>
                <wp:effectExtent l="0" t="0" r="0" b="0"/>
                <wp:wrapTopAndBottom/>
                <wp:docPr id="1" name="Frame1"/>
                <a:graphic xmlns:a="http://schemas.openxmlformats.org/drawingml/2006/main">
                  <a:graphicData uri="http://schemas.microsoft.com/office/word/2010/wordprocessingShape">
                    <wps:wsp>
                      <wps:cNvSpPr txBox="1"/>
                      <wps:spPr>
                        <a:xfrm>
                          <a:off x="0" y="0"/>
                          <a:ext cx="7772400" cy="1437640"/>
                        </a:xfrm>
                        <a:prstGeom prst="rect"/>
                        <a:solidFill>
                          <a:srgbClr val="FFFFFF">
                            <a:alpha val="0"/>
                          </a:srgbClr>
                        </a:solidFill>
                      </wps:spPr>
                      <wps:txbx>
                        <w:txbxContent>
                          <w:p>
                            <w:pPr>
                              <w:pStyle w:val="Normal"/>
                              <w:shd w:fill="0000FF" w:val="clear"/>
                              <w:rPr>
                                <w:spacing w:val="-5"/>
                                <w:lang w:val="en-CA"/>
                              </w:rPr>
                            </w:pPr>
                            <w:r>
                              <w:rPr>
                                <w:spacing w:val="-5"/>
                                <w:lang w:val="en-CA"/>
                              </w:rPr>
                            </w:r>
                          </w:p>
                        </w:txbxContent>
                      </wps:txbx>
                      <wps:bodyPr anchor="t" lIns="0" tIns="0" rIns="0" bIns="0">
                        <a:noAutofit/>
                      </wps:bodyPr>
                    </wps:wsp>
                  </a:graphicData>
                </a:graphic>
              </wp:anchor>
            </w:drawing>
          </mc:Choice>
          <mc:Fallback>
            <w:pict>
              <v:rect fillcolor="#FFFFFF" style="position:absolute;rotation:-0;width:612pt;height:113.2pt;mso-wrap-distance-left:21.6pt;mso-wrap-distance-right:21.6pt;mso-wrap-distance-top:0pt;mso-wrap-distance-bottom:0pt;margin-top:0.05pt;mso-position-vertical-relative:page;margin-left:0.05pt;mso-position-horizontal-relative:page">
                <v:fill opacity="0f"/>
                <v:textbox inset="0in,0in,0in,0in">
                  <w:txbxContent>
                    <w:p>
                      <w:pPr>
                        <w:pStyle w:val="Normal"/>
                        <w:shd w:fill="0000FF" w:val="clear"/>
                        <w:rPr>
                          <w:spacing w:val="-5"/>
                          <w:lang w:val="en-CA"/>
                        </w:rPr>
                      </w:pPr>
                      <w:r>
                        <w:rPr>
                          <w:spacing w:val="-5"/>
                          <w:lang w:val="en-CA"/>
                        </w:rPr>
                        <w:pict>
                          <v:line id="shape_0" from="180pt,18pt" to="619.95pt,18pt" stroked="t" o:allowincell="f" style="position:absolute;mso-position-horizontal-relative:page;mso-position-vertical-relative:page">
                            <v:stroke color="white" weight="6480" joinstyle="miter" endcap="flat"/>
                            <v:fill o:detectmouseclick="t" on="false"/>
                            <w10:wrap type="none"/>
                          </v:line>
                        </w:pict>
                        <w:pict>
                          <v:line id="shape_0" from="180pt,19.45pt" to="619.95pt,19.45pt" stroked="t" o:allowincell="f" style="position:absolute;mso-position-horizontal-relative:page;mso-position-vertical-relative:page">
                            <v:stroke color="white" weight="6480" joinstyle="miter" endcap="flat"/>
                            <v:fill o:detectmouseclick="t" on="false"/>
                            <w10:wrap type="none"/>
                          </v:line>
                        </w:pict>
                        <w:pict>
                          <v:line id="shape_0" from="180pt,20.9pt" to="619.95pt,20.9pt" stroked="t" o:allowincell="f" style="position:absolute;mso-position-horizontal-relative:page;mso-position-vertical-relative:page">
                            <v:stroke color="white" weight="6480" joinstyle="miter" endcap="flat"/>
                            <v:fill o:detectmouseclick="t" on="false"/>
                            <w10:wrap type="none"/>
                          </v:line>
                        </w:pict>
                      </w:r>
                    </w:p>
                  </w:txbxContent>
                </v:textbox>
                <w10:wrap type="topAndBottom"/>
              </v:rect>
            </w:pict>
          </mc:Fallback>
        </mc:AlternateContent>
      </w:r>
      <w:r>
        <mc:AlternateContent>
          <mc:Choice Requires="wps">
            <w:drawing>
              <wp:anchor behindDoc="0" distT="0" distB="0" distL="118745" distR="118745" simplePos="0" locked="0" layoutInCell="0" allowOverlap="1" relativeHeight="3">
                <wp:simplePos x="0" y="0"/>
                <wp:positionH relativeFrom="page">
                  <wp:posOffset>686435</wp:posOffset>
                </wp:positionH>
                <wp:positionV relativeFrom="page">
                  <wp:posOffset>457835</wp:posOffset>
                </wp:positionV>
                <wp:extent cx="1334770" cy="622935"/>
                <wp:effectExtent l="0" t="0" r="0" b="0"/>
                <wp:wrapSquare wrapText="bothSides"/>
                <wp:docPr id="8" name="Frame3"/>
                <a:graphic xmlns:a="http://schemas.openxmlformats.org/drawingml/2006/main">
                  <a:graphicData uri="http://schemas.microsoft.com/office/word/2010/wordprocessingShape">
                    <wps:wsp>
                      <wps:cNvSpPr txBox="1"/>
                      <wps:spPr>
                        <a:xfrm>
                          <a:off x="0" y="0"/>
                          <a:ext cx="1334770" cy="622935"/>
                        </a:xfrm>
                        <a:prstGeom prst="rect"/>
                        <a:solidFill>
                          <a:srgbClr val="FFFFFF">
                            <a:alpha val="0"/>
                          </a:srgbClr>
                        </a:solidFill>
                      </wps:spPr>
                      <wps:txbx>
                        <w:txbxContent>
                          <w:p>
                            <w:pPr>
                              <w:pStyle w:val="Normal"/>
                              <w:rPr>
                                <w:spacing w:val="-5"/>
                              </w:rPr>
                            </w:pPr>
                            <w:bookmarkStart w:id="0" w:name="_987938271"/>
                            <w:bookmarkStart w:id="1" w:name="_987938177"/>
                            <w:bookmarkStart w:id="2" w:name="_987937960"/>
                            <w:bookmarkEnd w:id="0"/>
                            <w:bookmarkEnd w:id="1"/>
                            <w:bookmarkEnd w:id="2"/>
                            <w:r>
                              <w:rPr>
                                <w:spacing w:val="-5"/>
                              </w:rPr>
                              <w:object w:dxaOrig="2101" w:dyaOrig="981">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width:105.05pt;height:49.05pt" filled="f" o:ole="">
                                  <v:imagedata r:id="rId3" o:title=""/>
                                </v:shape>
                                <o:OLEObject Type="Embed" ProgID="" ShapeID="ole_rId2" DrawAspect="Content" ObjectID="_491301391" r:id="rId2"/>
                              </w:object>
                            </w:r>
                          </w:p>
                        </w:txbxContent>
                      </wps:txbx>
                      <wps:bodyPr anchor="t" lIns="0" tIns="0" rIns="0" bIns="0">
                        <a:noAutofit/>
                      </wps:bodyPr>
                    </wps:wsp>
                  </a:graphicData>
                </a:graphic>
              </wp:anchor>
            </w:drawing>
          </mc:Choice>
          <mc:Fallback>
            <w:pict>
              <v:rect fillcolor="#FFFFFF" style="position:absolute;rotation:-0;width:105.1pt;height:49.05pt;mso-wrap-distance-left:9.35pt;mso-wrap-distance-right:9.35pt;mso-wrap-distance-top:0pt;mso-wrap-distance-bottom:0pt;margin-top:36.05pt;mso-position-vertical-relative:page;margin-left:54.05pt;mso-position-horizontal-relative:page">
                <v:fill opacity="0f"/>
                <v:textbox inset="0in,0in,0in,0in">
                  <w:txbxContent>
                    <w:p>
                      <w:pPr>
                        <w:pStyle w:val="Normal"/>
                        <w:rPr>
                          <w:spacing w:val="-5"/>
                        </w:rPr>
                      </w:pPr>
                      <w:bookmarkStart w:id="3" w:name="_987938271"/>
                      <w:bookmarkStart w:id="4" w:name="_987938177"/>
                      <w:bookmarkStart w:id="5" w:name="_987937960"/>
                      <w:bookmarkEnd w:id="3"/>
                      <w:bookmarkEnd w:id="4"/>
                      <w:bookmarkEnd w:id="5"/>
                      <w:r>
                        <w:rPr>
                          <w:spacing w:val="-5"/>
                        </w:rPr>
                        <w:object w:dxaOrig="2101" w:dyaOrig="981">
                          <v:shapetype id="_x0000_tole_rId4" coordsize="21600,21600" o:spt="ole_rId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 type="_x0000_tole_rId4" style="width:105.05pt;height:49.05pt" filled="f" o:ole="">
                            <v:imagedata r:id="rId5" o:title=""/>
                          </v:shape>
                          <o:OLEObject Type="Embed" ProgID="" ShapeID="ole_rId4" DrawAspect="Content" ObjectID="_279019648" r:id="rId4"/>
                        </w:object>
                      </w:r>
                    </w:p>
                  </w:txbxContent>
                </v:textbox>
                <w10:wrap type="square"/>
              </v:rect>
            </w:pict>
          </mc:Fallback>
        </mc:AlternateContent>
      </w:r>
      <w:r>
        <mc:AlternateContent>
          <mc:Choice Requires="wps">
            <w:drawing>
              <wp:anchor behindDoc="0" distT="0" distB="0" distL="114935" distR="114935" simplePos="0" locked="0" layoutInCell="0" allowOverlap="1" relativeHeight="7">
                <wp:simplePos x="0" y="0"/>
                <wp:positionH relativeFrom="page">
                  <wp:posOffset>2286000</wp:posOffset>
                </wp:positionH>
                <wp:positionV relativeFrom="page">
                  <wp:posOffset>346710</wp:posOffset>
                </wp:positionV>
                <wp:extent cx="4904105" cy="823595"/>
                <wp:effectExtent l="0" t="0" r="0" b="0"/>
                <wp:wrapNone/>
                <wp:docPr id="9" name="Frame2"/>
                <a:graphic xmlns:a="http://schemas.openxmlformats.org/drawingml/2006/main">
                  <a:graphicData uri="http://schemas.microsoft.com/office/word/2010/wordprocessingShape">
                    <wps:wsp>
                      <wps:cNvSpPr txBox="1"/>
                      <wps:spPr>
                        <a:xfrm>
                          <a:off x="0" y="0"/>
                          <a:ext cx="4904105" cy="823595"/>
                        </a:xfrm>
                        <a:prstGeom prst="rect"/>
                        <a:solidFill>
                          <a:srgbClr val="FFFFFF">
                            <a:alpha val="0"/>
                          </a:srgbClr>
                        </a:solidFill>
                      </wps:spPr>
                      <wps:txbx>
                        <w:txbxContent>
                          <w:p>
                            <w:pPr>
                              <w:pStyle w:val="Normal"/>
                              <w:rPr/>
                            </w:pPr>
                            <w:r>
                              <w:rPr>
                                <w:b/>
                                <w:smallCaps/>
                                <w:color w:val="FFFFFF"/>
                                <w:spacing w:val="20"/>
                                <w:sz w:val="24"/>
                              </w:rPr>
                              <w:br/>
                            </w:r>
                            <w:r>
                              <w:rPr>
                                <w:rFonts w:cs="Palatino" w:ascii="Palatino" w:hAnsi="Palatino"/>
                                <w:b/>
                                <w:smallCaps/>
                                <w:color w:val="FFFFFF"/>
                                <w:spacing w:val="20"/>
                                <w:sz w:val="64"/>
                              </w:rPr>
                              <w:t>WEFA Energy Services</w:t>
                            </w:r>
                          </w:p>
                        </w:txbxContent>
                      </wps:txbx>
                      <wps:bodyPr anchor="t" lIns="635" tIns="635" rIns="635" bIns="635">
                        <a:noAutofit/>
                      </wps:bodyPr>
                    </wps:wsp>
                  </a:graphicData>
                </a:graphic>
              </wp:anchor>
            </w:drawing>
          </mc:Choice>
          <mc:Fallback>
            <w:pict>
              <v:rect fillcolor="#FFFFFF" style="position:absolute;rotation:-0;width:386.15pt;height:64.85pt;mso-wrap-distance-left:9.05pt;mso-wrap-distance-right:9.05pt;mso-wrap-distance-top:0pt;mso-wrap-distance-bottom:0pt;margin-top:27.3pt;mso-position-vertical-relative:page;margin-left:180pt;mso-position-horizontal-relative:page">
                <v:fill opacity="0f"/>
                <v:textbox inset="0.000694444444444445in,0.000694444444444445in,0.000694444444444445in,0.000694444444444445in">
                  <w:txbxContent>
                    <w:p>
                      <w:pPr>
                        <w:pStyle w:val="Normal"/>
                        <w:rPr/>
                      </w:pPr>
                      <w:r>
                        <w:rPr>
                          <w:b/>
                          <w:smallCaps/>
                          <w:color w:val="FFFFFF"/>
                          <w:spacing w:val="20"/>
                          <w:sz w:val="24"/>
                        </w:rPr>
                        <w:br/>
                      </w:r>
                      <w:r>
                        <w:rPr>
                          <w:rFonts w:cs="Palatino" w:ascii="Palatino" w:hAnsi="Palatino"/>
                          <w:b/>
                          <w:smallCaps/>
                          <w:color w:val="FFFFFF"/>
                          <w:spacing w:val="20"/>
                          <w:sz w:val="64"/>
                        </w:rPr>
                        <w:t>WEFA Energy Services</w:t>
                      </w:r>
                    </w:p>
                  </w:txbxContent>
                </v:textbox>
                <w10:wrap type="none"/>
              </v:rect>
            </w:pict>
          </mc:Fallback>
        </mc:AlternateContent>
      </w:r>
      <w:r>
        <mc:AlternateContent>
          <mc:Choice Requires="wps">
            <w:drawing>
              <wp:anchor behindDoc="0" distT="0" distB="0" distL="114935" distR="114935" simplePos="0" locked="0" layoutInCell="0" allowOverlap="1" relativeHeight="8">
                <wp:simplePos x="0" y="0"/>
                <wp:positionH relativeFrom="page">
                  <wp:posOffset>2286000</wp:posOffset>
                </wp:positionH>
                <wp:positionV relativeFrom="page">
                  <wp:posOffset>228600</wp:posOffset>
                </wp:positionV>
                <wp:extent cx="5588000" cy="635"/>
                <wp:effectExtent l="635" t="3175" r="635" b="3175"/>
                <wp:wrapNone/>
                <wp:docPr id="10" name=""/>
                <a:graphic xmlns:a="http://schemas.openxmlformats.org/drawingml/2006/main">
                  <a:graphicData uri="http://schemas.microsoft.com/office/word/2010/wordprocessingShape">
                    <wps:wsp>
                      <wps:cNvSpPr/>
                      <wps:spPr>
                        <a:xfrm>
                          <a:off x="0" y="0"/>
                          <a:ext cx="5587920" cy="720"/>
                        </a:xfrm>
                        <a:prstGeom prst="line">
                          <a:avLst/>
                        </a:prstGeom>
                        <a:ln w="6480">
                          <a:solidFill>
                            <a:srgbClr val="ffffff"/>
                          </a:solidFill>
                          <a:miter/>
                        </a:ln>
                      </wps:spPr>
                      <wps:style>
                        <a:lnRef idx="0"/>
                        <a:fillRef idx="0"/>
                        <a:effectRef idx="0"/>
                        <a:fontRef idx="minor"/>
                      </wps:style>
                      <wps:bodyPr/>
                    </wps:wsp>
                  </a:graphicData>
                </a:graphic>
              </wp:anchor>
            </w:drawing>
          </mc:Choice>
          <mc:Fallback>
            <w:pict>
              <v:line id="shape_0" from="180pt,18pt" to="619.95pt,18pt" stroked="t" o:allowincell="f" style="position:absolute;mso-position-horizontal-relative:page;mso-position-vertical-relative:page">
                <v:stroke color="white" weight="6480" joinstyle="miter" endcap="flat"/>
                <v:fill o:detectmouseclick="t" on="false"/>
                <w10:wrap type="none"/>
              </v:line>
            </w:pict>
          </mc:Fallback>
        </mc:AlternateContent>
        <mc:AlternateContent>
          <mc:Choice Requires="wps">
            <w:drawing>
              <wp:anchor behindDoc="0" distT="0" distB="0" distL="114935" distR="114935" simplePos="0" locked="0" layoutInCell="0" allowOverlap="1" relativeHeight="9">
                <wp:simplePos x="0" y="0"/>
                <wp:positionH relativeFrom="page">
                  <wp:posOffset>2286000</wp:posOffset>
                </wp:positionH>
                <wp:positionV relativeFrom="page">
                  <wp:posOffset>247015</wp:posOffset>
                </wp:positionV>
                <wp:extent cx="5588000" cy="635"/>
                <wp:effectExtent l="635" t="3175" r="635" b="3175"/>
                <wp:wrapNone/>
                <wp:docPr id="11" name=""/>
                <a:graphic xmlns:a="http://schemas.openxmlformats.org/drawingml/2006/main">
                  <a:graphicData uri="http://schemas.microsoft.com/office/word/2010/wordprocessingShape">
                    <wps:wsp>
                      <wps:cNvSpPr/>
                      <wps:spPr>
                        <a:xfrm>
                          <a:off x="0" y="0"/>
                          <a:ext cx="5587920" cy="720"/>
                        </a:xfrm>
                        <a:prstGeom prst="line">
                          <a:avLst/>
                        </a:prstGeom>
                        <a:ln w="6480">
                          <a:solidFill>
                            <a:srgbClr val="ffffff"/>
                          </a:solidFill>
                          <a:miter/>
                        </a:ln>
                      </wps:spPr>
                      <wps:style>
                        <a:lnRef idx="0"/>
                        <a:fillRef idx="0"/>
                        <a:effectRef idx="0"/>
                        <a:fontRef idx="minor"/>
                      </wps:style>
                      <wps:bodyPr/>
                    </wps:wsp>
                  </a:graphicData>
                </a:graphic>
              </wp:anchor>
            </w:drawing>
          </mc:Choice>
          <mc:Fallback>
            <w:pict>
              <v:line id="shape_0" from="180pt,19.45pt" to="619.95pt,19.45pt" stroked="t" o:allowincell="f" style="position:absolute;mso-position-horizontal-relative:page;mso-position-vertical-relative:page">
                <v:stroke color="white" weight="6480" joinstyle="miter" endcap="flat"/>
                <v:fill o:detectmouseclick="t" on="false"/>
                <w10:wrap type="none"/>
              </v:line>
            </w:pict>
          </mc:Fallback>
        </mc:AlternateContent>
        <mc:AlternateContent>
          <mc:Choice Requires="wps">
            <w:drawing>
              <wp:anchor behindDoc="0" distT="0" distB="0" distL="114935" distR="114935" simplePos="0" locked="0" layoutInCell="0" allowOverlap="1" relativeHeight="10">
                <wp:simplePos x="0" y="0"/>
                <wp:positionH relativeFrom="page">
                  <wp:posOffset>2286000</wp:posOffset>
                </wp:positionH>
                <wp:positionV relativeFrom="page">
                  <wp:posOffset>265430</wp:posOffset>
                </wp:positionV>
                <wp:extent cx="5588000" cy="635"/>
                <wp:effectExtent l="635" t="3175" r="635" b="3175"/>
                <wp:wrapNone/>
                <wp:docPr id="12" name=""/>
                <a:graphic xmlns:a="http://schemas.openxmlformats.org/drawingml/2006/main">
                  <a:graphicData uri="http://schemas.microsoft.com/office/word/2010/wordprocessingShape">
                    <wps:wsp>
                      <wps:cNvSpPr/>
                      <wps:spPr>
                        <a:xfrm>
                          <a:off x="0" y="0"/>
                          <a:ext cx="5587920" cy="720"/>
                        </a:xfrm>
                        <a:prstGeom prst="line">
                          <a:avLst/>
                        </a:prstGeom>
                        <a:ln w="6480">
                          <a:solidFill>
                            <a:srgbClr val="ffffff"/>
                          </a:solidFill>
                          <a:miter/>
                        </a:ln>
                      </wps:spPr>
                      <wps:style>
                        <a:lnRef idx="0"/>
                        <a:fillRef idx="0"/>
                        <a:effectRef idx="0"/>
                        <a:fontRef idx="minor"/>
                      </wps:style>
                      <wps:bodyPr/>
                    </wps:wsp>
                  </a:graphicData>
                </a:graphic>
              </wp:anchor>
            </w:drawing>
          </mc:Choice>
          <mc:Fallback>
            <w:pict>
              <v:line id="shape_0" from="180pt,20.9pt" to="619.95pt,20.9pt" stroked="t" o:allowincell="f" style="position:absolute;mso-position-horizontal-relative:page;mso-position-vertical-relative:page">
                <v:stroke color="white" weight="6480" joinstyle="miter" endcap="flat"/>
                <v:fill o:detectmouseclick="t" on="false"/>
                <w10:wrap type="none"/>
              </v:line>
            </w:pict>
          </mc:Fallback>
        </mc:AlternateContent>
      </w:r>
    </w:p>
    <w:p>
      <w:pPr>
        <w:pStyle w:val="QTEXT"/>
        <w:rPr/>
      </w:pPr>
      <w:r>
        <w:rPr>
          <w:b/>
          <w:sz w:val="24"/>
        </w:rPr>
        <w:t>WEFA Energy Services</w:t>
      </w:r>
      <w:r>
        <w:rPr/>
        <w:t xml:space="preserve"> combines an international team of energy experts with an integrated economic and energy modeling system to provide focused and hands-on energy support and information which will help decision makers develop business plans and policies in an uncertain energy environment. </w:t>
      </w:r>
    </w:p>
    <w:p>
      <w:pPr>
        <w:pStyle w:val="QTEXT"/>
        <w:rPr/>
      </w:pPr>
      <w:r>
        <w:rPr/>
      </w:r>
    </w:p>
    <w:p>
      <w:pPr>
        <w:pStyle w:val="QTEXT"/>
        <w:rPr/>
      </w:pPr>
      <w:r>
        <w:rPr/>
        <w:t>WEFA Energy Services full-range of information and consulting services include:</w:t>
      </w:r>
    </w:p>
    <w:p>
      <w:pPr>
        <w:pStyle w:val="QTEXT"/>
        <w:rPr/>
      </w:pPr>
      <w:r>
        <w:rPr/>
      </w:r>
    </w:p>
    <w:tbl>
      <w:tblPr>
        <w:tblW w:w="4518" w:type="dxa"/>
        <w:jc w:val="start"/>
        <w:tblInd w:w="0" w:type="dxa"/>
        <w:tblLayout w:type="fixed"/>
        <w:tblCellMar>
          <w:top w:w="0" w:type="dxa"/>
          <w:start w:w="108" w:type="dxa"/>
          <w:bottom w:w="0" w:type="dxa"/>
          <w:end w:w="108" w:type="dxa"/>
        </w:tblCellMar>
      </w:tblPr>
      <w:tblGrid>
        <w:gridCol w:w="4518"/>
      </w:tblGrid>
      <w:tr>
        <w:trPr/>
        <w:tc>
          <w:tcPr>
            <w:tcW w:w="4518" w:type="dxa"/>
            <w:tcBorders/>
          </w:tcPr>
          <w:p>
            <w:pPr>
              <w:pStyle w:val="QTEXT"/>
              <w:numPr>
                <w:ilvl w:val="0"/>
                <w:numId w:val="12"/>
              </w:numPr>
              <w:spacing w:lineRule="auto" w:line="240" w:before="60" w:after="60"/>
              <w:ind w:hanging="0" w:start="907" w:end="-374"/>
              <w:jc w:val="start"/>
              <w:rPr>
                <w:b/>
                <w:sz w:val="22"/>
              </w:rPr>
            </w:pPr>
            <w:r>
              <w:rPr>
                <w:b/>
                <w:sz w:val="22"/>
              </w:rPr>
              <w:t>Retainer Services</w:t>
            </w:r>
          </w:p>
        </w:tc>
      </w:tr>
      <w:tr>
        <w:trPr/>
        <w:tc>
          <w:tcPr>
            <w:tcW w:w="4518" w:type="dxa"/>
            <w:tcBorders/>
          </w:tcPr>
          <w:p>
            <w:pPr>
              <w:pStyle w:val="QTEXT"/>
              <w:numPr>
                <w:ilvl w:val="0"/>
                <w:numId w:val="12"/>
              </w:numPr>
              <w:spacing w:lineRule="auto" w:line="240" w:before="60" w:after="60"/>
              <w:ind w:hanging="0" w:start="907" w:end="-374"/>
              <w:jc w:val="start"/>
              <w:rPr>
                <w:b/>
                <w:sz w:val="22"/>
              </w:rPr>
            </w:pPr>
            <w:r>
              <w:rPr>
                <w:b/>
                <w:sz w:val="22"/>
              </w:rPr>
              <w:t>Multi-Client Studies</w:t>
            </w:r>
          </w:p>
        </w:tc>
      </w:tr>
      <w:tr>
        <w:trPr/>
        <w:tc>
          <w:tcPr>
            <w:tcW w:w="4518" w:type="dxa"/>
            <w:tcBorders/>
          </w:tcPr>
          <w:p>
            <w:pPr>
              <w:pStyle w:val="QTEXT"/>
              <w:numPr>
                <w:ilvl w:val="0"/>
                <w:numId w:val="12"/>
              </w:numPr>
              <w:spacing w:lineRule="auto" w:line="240" w:before="60" w:after="60"/>
              <w:ind w:hanging="0" w:start="907" w:end="-374"/>
              <w:jc w:val="start"/>
              <w:rPr>
                <w:b/>
                <w:sz w:val="22"/>
              </w:rPr>
            </w:pPr>
            <w:r>
              <w:rPr>
                <w:b/>
                <w:sz w:val="22"/>
              </w:rPr>
              <w:t>Consulting Services</w:t>
            </w:r>
          </w:p>
        </w:tc>
      </w:tr>
      <w:tr>
        <w:trPr/>
        <w:tc>
          <w:tcPr>
            <w:tcW w:w="4518" w:type="dxa"/>
            <w:tcBorders/>
          </w:tcPr>
          <w:p>
            <w:pPr>
              <w:pStyle w:val="QTEXT"/>
              <w:numPr>
                <w:ilvl w:val="0"/>
                <w:numId w:val="12"/>
              </w:numPr>
              <w:spacing w:lineRule="auto" w:line="240" w:before="60" w:after="60"/>
              <w:ind w:hanging="0" w:start="907" w:end="-374"/>
              <w:jc w:val="start"/>
              <w:rPr>
                <w:b/>
                <w:sz w:val="22"/>
              </w:rPr>
            </w:pPr>
            <w:r>
              <w:rPr>
                <w:b/>
                <w:sz w:val="22"/>
              </w:rPr>
              <w:t>Outsourcing Services</w:t>
            </w:r>
          </w:p>
        </w:tc>
      </w:tr>
    </w:tbl>
    <w:p>
      <w:pPr>
        <w:pStyle w:val="QTEXT"/>
        <w:rPr/>
      </w:pPr>
      <w:r>
        <w:rPr/>
      </w:r>
    </w:p>
    <w:p>
      <w:pPr>
        <w:pStyle w:val="QHEADING"/>
        <w:rPr>
          <w:i/>
          <w:i/>
        </w:rPr>
      </w:pPr>
      <w:r>
        <w:rPr>
          <w:i/>
        </w:rPr>
        <w:t>The Firm</w:t>
      </w:r>
    </w:p>
    <w:p>
      <w:pPr>
        <w:pStyle w:val="QTEXT"/>
        <w:spacing w:before="60" w:after="60"/>
        <w:rPr/>
      </w:pPr>
      <w:r>
        <w:rPr>
          <w:b/>
          <w:i/>
        </w:rPr>
        <w:t>WEFA operates throughout North America and Europe, with affiliates in Latin America and the Far East. Its broad range of capabilities resulted from the 1987 merger of two leading international consulting firms: Wharton Econometrics Forecasting Associates and Chase Econometrics.</w:t>
      </w:r>
    </w:p>
    <w:p>
      <w:pPr>
        <w:pStyle w:val="QTEXT"/>
        <w:spacing w:before="60" w:after="60"/>
        <w:rPr/>
      </w:pPr>
      <w:r>
        <w:rPr>
          <w:b/>
          <w:i/>
        </w:rPr>
        <w:t>Founded in 1963 by Lawrence R. Klein, winner of the 1980 Nobel prize in Economics, Wharton Econometric Forecasting Associates (WEFA) was the original economic forecasting firm, started at the request of business leaders who wanted independent forecasts for planning. WEFA built a reputation for quality research and forecast accuracy.</w:t>
      </w:r>
    </w:p>
    <w:p>
      <w:pPr>
        <w:pStyle w:val="QTEXT"/>
        <w:spacing w:before="60" w:after="60"/>
        <w:rPr/>
      </w:pPr>
      <w:r>
        <w:rPr>
          <w:b/>
          <w:i/>
        </w:rPr>
        <w:t>Blending a history of excellence with a commitment to solving business and government problems, WEFA offers a full range of services, broad expertise, professional support and technology to meet the 1990s. WEFA is dedicated to providing clients with the highest quality consulting, forecasting, and data services possible.</w:t>
      </w:r>
    </w:p>
    <w:p>
      <w:pPr>
        <w:pStyle w:val="QTEXT"/>
        <w:spacing w:before="20" w:after="240"/>
        <w:rPr>
          <w:b/>
          <w:i/>
          <w:i/>
        </w:rPr>
      </w:pPr>
      <w:r>
        <w:br w:type="column"/>
      </w:r>
      <w:r>
        <w:rPr>
          <w:b/>
          <w:i/>
        </w:rPr>
      </w:r>
    </w:p>
    <w:p>
      <w:pPr>
        <w:pStyle w:val="QTEXT"/>
        <w:rPr/>
      </w:pPr>
      <w:r>
        <w:rPr>
          <w:b/>
          <w:i/>
          <w:sz w:val="22"/>
        </w:rPr>
        <w:t>Retainer Services</w:t>
      </w:r>
      <w:r>
        <w:rPr>
          <w:b/>
          <w:i/>
        </w:rPr>
        <w:t>:</w:t>
      </w:r>
      <w:r>
        <w:rPr>
          <w:i/>
        </w:rPr>
        <w:t xml:space="preserve"> </w:t>
      </w:r>
      <w:r>
        <w:rPr/>
        <w:t>These services report WEFA economists’ outlook for energy markets, and their evaluation of key issues that may significantly affect the industry. WEFA Energy’s publications are monthly or annual and address issues ranging from short term price outlooks to the long term impact of technology changes, regulatory decisions, and environmental issues on energy markets.</w:t>
      </w:r>
    </w:p>
    <w:p>
      <w:pPr>
        <w:pStyle w:val="QTEXT"/>
        <w:spacing w:before="120" w:after="120"/>
        <w:rPr/>
      </w:pPr>
      <w:r>
        <w:rPr>
          <w:b/>
          <w:i/>
          <w:sz w:val="22"/>
        </w:rPr>
        <w:t>Consultation Access</w:t>
      </w:r>
      <w:r>
        <w:rPr>
          <w:b/>
          <w:i/>
        </w:rPr>
        <w:t xml:space="preserve">: </w:t>
      </w:r>
      <w:r>
        <w:rPr/>
        <w:t xml:space="preserve">Clients have access to WEFA professionals for telephone and email consultation one-on-one as part of any Retainer Service. WEFA also conducts video conference calls for clients to discuss current forecasts and other topical issues.  </w:t>
      </w:r>
    </w:p>
    <w:p>
      <w:pPr>
        <w:pStyle w:val="QTEXT"/>
        <w:rPr/>
      </w:pPr>
      <w:r>
        <w:rPr>
          <w:b/>
          <w:i/>
          <w:sz w:val="22"/>
        </w:rPr>
        <w:t>Multi-Client Studies</w:t>
      </w:r>
      <w:r>
        <w:rPr>
          <w:b/>
          <w:i/>
        </w:rPr>
        <w:t>:</w:t>
      </w:r>
      <w:r>
        <w:rPr>
          <w:i/>
        </w:rPr>
        <w:t xml:space="preserve"> </w:t>
      </w:r>
      <w:r>
        <w:rPr/>
        <w:t>These studies are conducted to provide an in-depth understanding of important energy industry issues such as the impact of changing environmental regulations, technological evolution, industry restructuring, international power developments and the positioning of coal producers in shifting coal markets.</w:t>
      </w:r>
    </w:p>
    <w:p>
      <w:pPr>
        <w:pStyle w:val="QTEXT"/>
        <w:spacing w:before="120" w:after="120"/>
        <w:rPr/>
      </w:pPr>
      <w:r>
        <w:rPr>
          <w:b/>
          <w:i/>
          <w:sz w:val="22"/>
        </w:rPr>
        <w:t>Consulting Services</w:t>
      </w:r>
      <w:r>
        <w:rPr>
          <w:b/>
          <w:i/>
        </w:rPr>
        <w:t xml:space="preserve">: </w:t>
      </w:r>
      <w:r>
        <w:rPr/>
        <w:t>WEFA’s energy experts support clients varied needs. Current assignments include:</w:t>
      </w:r>
    </w:p>
    <w:p>
      <w:pPr>
        <w:pStyle w:val="subpara"/>
        <w:numPr>
          <w:ilvl w:val="0"/>
          <w:numId w:val="13"/>
        </w:numPr>
        <w:spacing w:before="0" w:after="60"/>
        <w:ind w:hanging="0" w:start="0"/>
        <w:rPr>
          <w:sz w:val="18"/>
        </w:rPr>
      </w:pPr>
      <w:r>
        <w:rPr>
          <w:sz w:val="18"/>
        </w:rPr>
        <w:t>Strategic and Tactical Planning</w:t>
      </w:r>
    </w:p>
    <w:p>
      <w:pPr>
        <w:pStyle w:val="subpara"/>
        <w:numPr>
          <w:ilvl w:val="0"/>
          <w:numId w:val="13"/>
        </w:numPr>
        <w:spacing w:before="0" w:after="60"/>
        <w:ind w:hanging="0" w:start="0"/>
        <w:rPr>
          <w:sz w:val="18"/>
        </w:rPr>
      </w:pPr>
      <w:r>
        <w:rPr>
          <w:sz w:val="18"/>
        </w:rPr>
        <w:t>Load and sales Forecasting</w:t>
      </w:r>
    </w:p>
    <w:p>
      <w:pPr>
        <w:pStyle w:val="subpara"/>
        <w:numPr>
          <w:ilvl w:val="0"/>
          <w:numId w:val="13"/>
        </w:numPr>
        <w:spacing w:before="0" w:after="60"/>
        <w:ind w:hanging="0" w:start="0"/>
        <w:rPr>
          <w:sz w:val="18"/>
        </w:rPr>
      </w:pPr>
      <w:r>
        <w:rPr>
          <w:sz w:val="18"/>
        </w:rPr>
        <w:t>Due Diligence for Financing</w:t>
      </w:r>
    </w:p>
    <w:p>
      <w:pPr>
        <w:pStyle w:val="subpara"/>
        <w:numPr>
          <w:ilvl w:val="0"/>
          <w:numId w:val="13"/>
        </w:numPr>
        <w:spacing w:before="0" w:after="60"/>
        <w:ind w:hanging="0" w:start="0"/>
        <w:rPr>
          <w:sz w:val="18"/>
        </w:rPr>
      </w:pPr>
      <w:r>
        <w:rPr>
          <w:sz w:val="18"/>
        </w:rPr>
        <w:t>Market Planning for Regulated and Non-regulated Energy Businesses</w:t>
      </w:r>
    </w:p>
    <w:p>
      <w:pPr>
        <w:pStyle w:val="subpara"/>
        <w:numPr>
          <w:ilvl w:val="0"/>
          <w:numId w:val="13"/>
        </w:numPr>
        <w:spacing w:before="0" w:after="60"/>
        <w:ind w:hanging="0" w:start="0"/>
        <w:rPr>
          <w:sz w:val="18"/>
        </w:rPr>
      </w:pPr>
      <w:r>
        <w:rPr>
          <w:sz w:val="18"/>
        </w:rPr>
        <w:t>Fuel Price and Emission Allowances Forecasts</w:t>
      </w:r>
    </w:p>
    <w:p>
      <w:pPr>
        <w:pStyle w:val="subpara"/>
        <w:numPr>
          <w:ilvl w:val="0"/>
          <w:numId w:val="13"/>
        </w:numPr>
        <w:spacing w:before="0" w:after="60"/>
        <w:ind w:hanging="0" w:start="0"/>
        <w:rPr>
          <w:sz w:val="18"/>
        </w:rPr>
      </w:pPr>
      <w:r>
        <w:rPr>
          <w:sz w:val="18"/>
        </w:rPr>
        <w:t>Energy, Environmental and Regulatory Policy Analysis</w:t>
      </w:r>
    </w:p>
    <w:p>
      <w:pPr>
        <w:pStyle w:val="subpara"/>
        <w:numPr>
          <w:ilvl w:val="0"/>
          <w:numId w:val="13"/>
        </w:numPr>
        <w:spacing w:before="0" w:after="60"/>
        <w:ind w:hanging="0" w:start="0"/>
        <w:rPr>
          <w:sz w:val="18"/>
        </w:rPr>
      </w:pPr>
      <w:r>
        <w:rPr>
          <w:sz w:val="18"/>
        </w:rPr>
        <w:t>Expert Witness, Regulatory Support, Prudence Reviews</w:t>
      </w:r>
    </w:p>
    <w:p>
      <w:pPr>
        <w:pStyle w:val="QTEXT"/>
        <w:spacing w:before="120" w:after="120"/>
        <w:rPr/>
      </w:pPr>
      <w:r>
        <w:rPr>
          <w:b/>
          <w:i/>
          <w:sz w:val="22"/>
        </w:rPr>
        <w:t>Outsourcing Services</w:t>
      </w:r>
      <w:r>
        <w:rPr>
          <w:b/>
          <w:i/>
        </w:rPr>
        <w:t>:</w:t>
      </w:r>
      <w:r>
        <w:rPr/>
        <w:t xml:space="preserve"> For ongoing consulting services tailored to the specific needs of the client, WEFA’s energy experts work closely with clients as an extension of fulltime staff. Current assignments include: </w:t>
      </w:r>
    </w:p>
    <w:p>
      <w:pPr>
        <w:pStyle w:val="subpara"/>
        <w:numPr>
          <w:ilvl w:val="0"/>
          <w:numId w:val="13"/>
        </w:numPr>
        <w:spacing w:before="0" w:after="60"/>
        <w:ind w:hanging="0" w:start="0"/>
        <w:rPr>
          <w:sz w:val="18"/>
        </w:rPr>
      </w:pPr>
      <w:r>
        <w:rPr>
          <w:sz w:val="18"/>
        </w:rPr>
        <w:t>Sales and load forecasting</w:t>
      </w:r>
    </w:p>
    <w:p>
      <w:pPr>
        <w:pStyle w:val="subpara"/>
        <w:numPr>
          <w:ilvl w:val="0"/>
          <w:numId w:val="13"/>
        </w:numPr>
        <w:spacing w:before="0" w:after="60"/>
        <w:ind w:hanging="0" w:start="0"/>
        <w:rPr>
          <w:sz w:val="18"/>
        </w:rPr>
      </w:pPr>
      <w:r>
        <w:rPr>
          <w:sz w:val="18"/>
        </w:rPr>
        <w:t>Marketing analysis</w:t>
      </w:r>
    </w:p>
    <w:p>
      <w:pPr>
        <w:pStyle w:val="subpara"/>
        <w:numPr>
          <w:ilvl w:val="0"/>
          <w:numId w:val="13"/>
        </w:numPr>
        <w:spacing w:before="0" w:after="60"/>
        <w:ind w:hanging="0" w:start="0"/>
        <w:rPr>
          <w:sz w:val="18"/>
        </w:rPr>
      </w:pPr>
      <w:r>
        <w:rPr>
          <w:sz w:val="18"/>
        </w:rPr>
        <w:t>Revenue Forecasting</w:t>
      </w:r>
      <w:r>
        <w:br w:type="page"/>
      </w:r>
    </w:p>
    <w:p>
      <w:pPr>
        <w:pStyle w:val="Index1"/>
        <w:rPr/>
      </w:pPr>
      <w:r>
        <w:rPr/>
        <w:t xml:space="preserve"> </w:t>
      </w:r>
    </w:p>
    <w:tbl>
      <w:tblPr>
        <w:tblW w:w="4860" w:type="dxa"/>
        <w:jc w:val="start"/>
        <w:tblInd w:w="108" w:type="dxa"/>
        <w:tblLayout w:type="fixed"/>
        <w:tblCellMar>
          <w:top w:w="0" w:type="dxa"/>
          <w:start w:w="108" w:type="dxa"/>
          <w:bottom w:w="0" w:type="dxa"/>
          <w:end w:w="108" w:type="dxa"/>
        </w:tblCellMar>
      </w:tblPr>
      <w:tblGrid>
        <w:gridCol w:w="2455"/>
        <w:gridCol w:w="2405"/>
      </w:tblGrid>
      <w:tr>
        <w:trPr/>
        <w:tc>
          <w:tcPr>
            <w:tcW w:w="2455" w:type="dxa"/>
            <w:tcBorders>
              <w:top w:val="single" w:sz="12" w:space="0" w:color="000000"/>
              <w:start w:val="single" w:sz="12" w:space="0" w:color="000000"/>
              <w:bottom w:val="single" w:sz="12" w:space="0" w:color="000000"/>
              <w:end w:val="single" w:sz="6" w:space="0" w:color="000000"/>
            </w:tcBorders>
          </w:tcPr>
          <w:p>
            <w:pPr>
              <w:pStyle w:val="QIMAGEMAP"/>
              <w:spacing w:lineRule="auto" w:line="240" w:before="80" w:after="20"/>
              <w:jc w:val="center"/>
              <w:rPr/>
            </w:pPr>
            <w:r>
              <w:rPr/>
              <w:drawing>
                <wp:inline distT="0" distB="0" distL="0" distR="0">
                  <wp:extent cx="546100" cy="560070"/>
                  <wp:effectExtent l="0" t="0" r="0" b="0"/>
                  <wp:docPr id="13"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1" descr="" title=""/>
                          <pic:cNvPicPr>
                            <a:picLocks noChangeAspect="1" noChangeArrowheads="1"/>
                          </pic:cNvPicPr>
                        </pic:nvPicPr>
                        <pic:blipFill>
                          <a:blip r:embed="rId6"/>
                          <a:srcRect l="-11" t="-10" r="-11" b="-10"/>
                          <a:stretch>
                            <a:fillRect/>
                          </a:stretch>
                        </pic:blipFill>
                        <pic:spPr bwMode="auto">
                          <a:xfrm>
                            <a:off x="0" y="0"/>
                            <a:ext cx="546100" cy="560070"/>
                          </a:xfrm>
                          <a:prstGeom prst="rect">
                            <a:avLst/>
                          </a:prstGeom>
                          <a:noFill/>
                        </pic:spPr>
                      </pic:pic>
                    </a:graphicData>
                  </a:graphic>
                </wp:inline>
              </w:drawing>
            </w:r>
          </w:p>
        </w:tc>
        <w:tc>
          <w:tcPr>
            <w:tcW w:w="2405" w:type="dxa"/>
            <w:tcBorders>
              <w:top w:val="single" w:sz="12" w:space="0" w:color="000000"/>
              <w:start w:val="single" w:sz="6" w:space="0" w:color="000000"/>
              <w:bottom w:val="single" w:sz="12" w:space="0" w:color="000000"/>
              <w:end w:val="single" w:sz="12" w:space="0" w:color="000000"/>
            </w:tcBorders>
            <w:shd w:fill="0000FF" w:val="clear"/>
          </w:tcPr>
          <w:p>
            <w:pPr>
              <w:pStyle w:val="QIMAGEHEADING"/>
              <w:spacing w:before="240" w:after="240"/>
              <w:rPr>
                <w:color w:val="FFFFFF"/>
              </w:rPr>
            </w:pPr>
            <w:r>
              <w:rPr>
                <w:color w:val="FFFFFF"/>
              </w:rPr>
              <w:t>North American</w:t>
              <w:br/>
              <w:t>Retainer Services</w:t>
            </w:r>
          </w:p>
        </w:tc>
      </w:tr>
    </w:tbl>
    <w:p>
      <w:pPr>
        <w:pStyle w:val="QPARAW0PRESPACE"/>
        <w:jc w:val="center"/>
        <w:rPr>
          <w:i/>
          <w:i/>
        </w:rPr>
      </w:pPr>
      <w:r>
        <w:rPr>
          <w:i/>
        </w:rPr>
        <w:t>All Retainer Services include telephone consultation access to WEFA professionals.</w:t>
      </w:r>
    </w:p>
    <w:p>
      <w:pPr>
        <w:pStyle w:val="QTEXT"/>
        <w:spacing w:before="120" w:after="0"/>
        <w:jc w:val="start"/>
        <w:rPr>
          <w:b/>
          <w:i/>
          <w:i/>
          <w:color w:val="0000FF"/>
          <w:sz w:val="28"/>
        </w:rPr>
      </w:pPr>
      <w:r>
        <w:rPr>
          <w:b/>
          <w:i/>
          <w:color w:val="0000FF"/>
          <w:sz w:val="28"/>
        </w:rPr>
      </w:r>
    </w:p>
    <w:p>
      <w:pPr>
        <w:pStyle w:val="QTEXT"/>
        <w:spacing w:before="120" w:after="0"/>
        <w:jc w:val="start"/>
        <w:rPr>
          <w:b/>
          <w:color w:val="0000FF"/>
          <w:sz w:val="28"/>
        </w:rPr>
      </w:pPr>
      <w:r>
        <w:rPr>
          <w:b/>
          <w:color w:val="0000FF"/>
          <w:sz w:val="28"/>
        </w:rPr>
        <w:t>Short Term Services</w:t>
      </w:r>
    </w:p>
    <w:p>
      <w:pPr>
        <w:pStyle w:val="subpara"/>
        <w:numPr>
          <w:ilvl w:val="0"/>
          <w:numId w:val="0"/>
        </w:numPr>
        <w:ind w:hanging="0" w:start="0"/>
        <w:rPr>
          <w:i/>
          <w:i/>
        </w:rPr>
      </w:pPr>
      <w:r>
        <w:rPr>
          <w:i/>
        </w:rPr>
        <w:t>$10,000 annual subscription fee for each publication</w:t>
      </w:r>
    </w:p>
    <w:p>
      <w:pPr>
        <w:pStyle w:val="QTEXT"/>
        <w:spacing w:before="120" w:after="0"/>
        <w:jc w:val="start"/>
        <w:rPr/>
      </w:pPr>
      <w:r>
        <w:rPr>
          <w:b/>
        </w:rPr>
        <w:t>Global Petroleum Monthly</w:t>
        <w:br/>
      </w:r>
      <w:r>
        <w:rPr/>
        <w:t>Covers monthly supply/demand developments, OPEC and non-OPEC developments, product market analysis, WTI price activity and short-term price forecasts.</w:t>
      </w:r>
    </w:p>
    <w:p>
      <w:pPr>
        <w:pStyle w:val="QTEXT"/>
        <w:spacing w:before="120" w:after="0"/>
        <w:jc w:val="start"/>
        <w:rPr/>
      </w:pPr>
      <w:r>
        <w:rPr>
          <w:b/>
        </w:rPr>
        <w:t>Natural Gas Monthly</w:t>
      </w:r>
      <w:r>
        <w:rPr>
          <w:b/>
          <w:i/>
        </w:rPr>
        <w:br/>
      </w:r>
      <w:r>
        <w:rPr/>
        <w:t>Spot price projections for nine major market hubs and selected transportation margins. Assessment of determining factors in price movements.</w:t>
      </w:r>
    </w:p>
    <w:p>
      <w:pPr>
        <w:pStyle w:val="QTEXT"/>
        <w:spacing w:before="120" w:after="0"/>
        <w:jc w:val="start"/>
        <w:rPr/>
      </w:pPr>
      <w:r>
        <w:rPr>
          <w:b/>
        </w:rPr>
        <w:t>Coal Monthly</w:t>
      </w:r>
      <w:r>
        <w:rPr>
          <w:b/>
          <w:i/>
        </w:rPr>
        <w:br/>
      </w:r>
      <w:r>
        <w:rPr/>
        <w:t>Spot price projections for major coals. Short-term production outlook. Assessment of determining factors in price movements.</w:t>
      </w:r>
    </w:p>
    <w:p>
      <w:pPr>
        <w:pStyle w:val="QTEXT"/>
        <w:spacing w:before="120" w:after="0"/>
        <w:jc w:val="start"/>
        <w:rPr>
          <w:b/>
          <w:color w:val="0000FF"/>
          <w:sz w:val="28"/>
        </w:rPr>
      </w:pPr>
      <w:r>
        <w:rPr>
          <w:b/>
          <w:color w:val="0000FF"/>
          <w:sz w:val="28"/>
        </w:rPr>
      </w:r>
    </w:p>
    <w:p>
      <w:pPr>
        <w:pStyle w:val="QTEXT"/>
        <w:spacing w:before="120" w:after="0"/>
        <w:jc w:val="start"/>
        <w:rPr>
          <w:b/>
          <w:color w:val="0000FF"/>
          <w:sz w:val="28"/>
        </w:rPr>
      </w:pPr>
      <w:r>
        <w:rPr>
          <w:b/>
          <w:color w:val="0000FF"/>
          <w:sz w:val="28"/>
        </w:rPr>
        <w:t>Long Term Services</w:t>
      </w:r>
    </w:p>
    <w:p>
      <w:pPr>
        <w:pStyle w:val="subpara"/>
        <w:numPr>
          <w:ilvl w:val="0"/>
          <w:numId w:val="0"/>
        </w:numPr>
        <w:ind w:hanging="0" w:start="0"/>
        <w:rPr>
          <w:i/>
          <w:i/>
        </w:rPr>
      </w:pPr>
      <w:r>
        <w:rPr>
          <w:i/>
        </w:rPr>
        <w:t>$15,000 annual subscription fee for each publication</w:t>
      </w:r>
    </w:p>
    <w:p>
      <w:pPr>
        <w:pStyle w:val="QTEXT"/>
        <w:spacing w:before="120" w:after="0"/>
        <w:jc w:val="start"/>
        <w:rPr/>
      </w:pPr>
      <w:r>
        <w:rPr>
          <w:b/>
        </w:rPr>
        <w:t>Energy Outlook</w:t>
        <w:br/>
      </w:r>
      <w:r>
        <w:rPr/>
        <w:t xml:space="preserve">Detailed long-term assessment of the energy and electricity outlook by census region. Coverage includes electricity and fuel demand and production, wholesale and delivered prices by customer class. </w:t>
      </w:r>
    </w:p>
    <w:p>
      <w:pPr>
        <w:pStyle w:val="QTEXT"/>
        <w:spacing w:before="120" w:after="0"/>
        <w:jc w:val="start"/>
        <w:rPr/>
      </w:pPr>
      <w:r>
        <w:rPr>
          <w:b/>
        </w:rPr>
        <w:t>Global Petroleum Outlook</w:t>
        <w:br/>
      </w:r>
      <w:r>
        <w:rPr/>
        <w:t>Long-term assessment of oil market fundamentals discussed in light of the evolution of demand, non-OPEC supply, and OPEC policy and capabilities in the context of the changing regulatory and technological environment.  The report provides both forecast data and analysis of key market uncertainties.</w:t>
      </w:r>
    </w:p>
    <w:p>
      <w:pPr>
        <w:pStyle w:val="QTEXT"/>
        <w:spacing w:before="120" w:after="0"/>
        <w:jc w:val="start"/>
        <w:rPr/>
      </w:pPr>
      <w:r>
        <w:rPr>
          <w:b/>
        </w:rPr>
        <w:t>Natural Gas Outlook</w:t>
        <w:br/>
      </w:r>
      <w:r>
        <w:rPr/>
        <w:t>Long-term assessment of market fundamentals (supply, demand, and wellhead price and transportation costs/flows) discussed in light of the evolution of the regulatory structure. Coverage includes: demands by sector and region, regional wellhead and city-gate prices; and production by basin.  Uncertainties are addressed through scenarios.</w:t>
      </w:r>
    </w:p>
    <w:p>
      <w:pPr>
        <w:pStyle w:val="QTEXT"/>
        <w:spacing w:before="120" w:after="0"/>
        <w:jc w:val="start"/>
        <w:rPr/>
      </w:pPr>
      <w:r>
        <w:br w:type="column"/>
      </w:r>
      <w:r>
        <w:rPr>
          <w:b/>
        </w:rPr>
        <w:t>Electric Power Outlook</w:t>
        <w:br/>
      </w:r>
      <w:r>
        <w:rPr/>
        <w:t>Long-term assessment of market fundamentals (demand, capacity, utilization, transfers, and price) discussed in light of the evolution of the regulatory structure. The outlook for fuel markets. Projections of 170 product price indices affecting utility operating costs, power generation plant operations and maintenance.</w:t>
      </w:r>
      <w:r>
        <w:rPr>
          <w:b/>
        </w:rPr>
        <w:t xml:space="preserve"> </w:t>
      </w:r>
    </w:p>
    <w:p>
      <w:pPr>
        <w:pStyle w:val="QTEXT"/>
        <w:spacing w:before="120" w:after="0"/>
        <w:jc w:val="start"/>
        <w:rPr/>
      </w:pPr>
      <w:r>
        <w:rPr>
          <w:b/>
        </w:rPr>
        <w:t>Energy Scenarios 2001:  The Supply Crunch</w:t>
      </w:r>
      <w:r>
        <w:rPr/>
        <w:br/>
        <w:t xml:space="preserve">Long-term analysis of the transition over the next decade from the current supply crisis to a market in equilibrium.  Three cases are presented. </w:t>
      </w:r>
    </w:p>
    <w:p>
      <w:pPr>
        <w:pStyle w:val="QTEXT"/>
        <w:spacing w:before="120" w:after="0"/>
        <w:jc w:val="start"/>
        <w:rPr>
          <w:b/>
          <w:color w:val="0000FF"/>
          <w:sz w:val="28"/>
        </w:rPr>
      </w:pPr>
      <w:r>
        <w:rPr>
          <w:b/>
          <w:color w:val="0000FF"/>
          <w:sz w:val="28"/>
        </w:rPr>
      </w:r>
    </w:p>
    <w:p>
      <w:pPr>
        <w:pStyle w:val="QHEADING"/>
        <w:shd w:fill="0000FF" w:val="clear"/>
        <w:spacing w:before="0" w:after="0"/>
        <w:rPr>
          <w:rFonts w:ascii="Palatino" w:hAnsi="Palatino" w:cs="Palatino"/>
          <w:color w:val="FFFFFF"/>
          <w:sz w:val="20"/>
        </w:rPr>
      </w:pPr>
      <w:r>
        <w:rPr>
          <w:color w:val="FFFFFF"/>
          <w:sz w:val="20"/>
        </w:rPr>
        <w:br/>
      </w:r>
      <w:r>
        <w:rPr>
          <w:rFonts w:cs="Palatino" w:ascii="Palatino" w:hAnsi="Palatino"/>
          <w:color w:val="FFFFFF"/>
        </w:rPr>
        <w:t>Energy Retainer Packages</w:t>
        <w:br/>
      </w:r>
    </w:p>
    <w:p>
      <w:pPr>
        <w:pStyle w:val="QTEXT"/>
        <w:spacing w:before="120" w:after="0"/>
        <w:jc w:val="start"/>
        <w:rPr>
          <w:rFonts w:ascii="Palatino" w:hAnsi="Palatino" w:cs="Palatino"/>
          <w:color w:val="FFFFFF"/>
          <w:sz w:val="20"/>
        </w:rPr>
      </w:pPr>
      <w:r>
        <w:rPr>
          <w:rFonts w:cs="Palatino"/>
          <w:color w:val="FFFFFF"/>
          <w:sz w:val="20"/>
        </w:rPr>
      </w:r>
    </w:p>
    <w:p>
      <w:pPr>
        <w:pStyle w:val="subpara"/>
        <w:numPr>
          <w:ilvl w:val="0"/>
          <w:numId w:val="0"/>
        </w:numPr>
        <w:ind w:hanging="0" w:start="0"/>
        <w:rPr/>
      </w:pPr>
      <w:r>
        <w:rPr>
          <w:b/>
          <w:color w:val="auto"/>
        </w:rPr>
        <w:t>Full Energy Retainer Package</w:t>
      </w:r>
      <w:r>
        <w:rPr>
          <w:b/>
        </w:rPr>
        <w:br/>
      </w:r>
      <w:r>
        <w:rPr>
          <w:i/>
        </w:rPr>
        <w:t>$29,500 annual subscription fee</w:t>
        <w:br/>
      </w:r>
      <w:r>
        <w:rPr>
          <w:rFonts w:cs="Palatino" w:ascii="Palatino" w:hAnsi="Palatino"/>
          <w:color w:val="auto"/>
        </w:rPr>
        <w:t>Clients who choose the Full Energy Retainer Package receive the complete set of WEFA’s North American Short-term and Long-term Service publications, access to WEFA professionals for consultation, and participation in Video Conference Calls.</w:t>
      </w:r>
    </w:p>
    <w:p>
      <w:pPr>
        <w:pStyle w:val="subpara"/>
        <w:numPr>
          <w:ilvl w:val="0"/>
          <w:numId w:val="0"/>
        </w:numPr>
        <w:ind w:hanging="0" w:start="0"/>
        <w:rPr/>
      </w:pPr>
      <w:r>
        <w:rPr>
          <w:b/>
          <w:color w:val="auto"/>
        </w:rPr>
        <w:t>Global Petroleum Retainer Package</w:t>
      </w:r>
      <w:r>
        <w:rPr>
          <w:b/>
        </w:rPr>
        <w:br/>
      </w:r>
      <w:r>
        <w:rPr>
          <w:i/>
        </w:rPr>
        <w:t>$17,500 annual subscription fee</w:t>
        <w:br/>
      </w:r>
      <w:r>
        <w:rPr>
          <w:rFonts w:cs="Palatino" w:ascii="Palatino" w:hAnsi="Palatino"/>
          <w:color w:val="auto"/>
        </w:rPr>
        <w:t>Clients who choose the Global Petroleum Retainer Package receive WEFA’s Global Petroleum Outlook and Global Petroleum Monthly, access to WEFA professionals for consultation, and participation in Video Conference Calls.</w:t>
      </w:r>
    </w:p>
    <w:p>
      <w:pPr>
        <w:pStyle w:val="subpara"/>
        <w:numPr>
          <w:ilvl w:val="0"/>
          <w:numId w:val="0"/>
        </w:numPr>
        <w:ind w:hanging="0" w:start="0"/>
        <w:rPr/>
      </w:pPr>
      <w:r>
        <w:rPr>
          <w:b/>
          <w:color w:val="auto"/>
        </w:rPr>
        <w:t>Natural Gas Retainer Package</w:t>
      </w:r>
      <w:r>
        <w:rPr>
          <w:b/>
        </w:rPr>
        <w:br/>
      </w:r>
      <w:r>
        <w:rPr>
          <w:i/>
        </w:rPr>
        <w:t>$17,500 annual subscription fee</w:t>
        <w:br/>
      </w:r>
      <w:r>
        <w:rPr>
          <w:rFonts w:cs="Palatino" w:ascii="Palatino" w:hAnsi="Palatino"/>
          <w:color w:val="auto"/>
        </w:rPr>
        <w:t>Clients who choose the Natural Gas Retainer Package receive WEFA’s Natural Gas Outlook and Natural Gas Monthly, access to WEFA professionals for consultation, and participation in Video Conference Calls.</w:t>
      </w:r>
    </w:p>
    <w:p>
      <w:pPr>
        <w:pStyle w:val="subpara"/>
        <w:numPr>
          <w:ilvl w:val="0"/>
          <w:numId w:val="0"/>
        </w:numPr>
        <w:ind w:hanging="0" w:start="0"/>
        <w:rPr/>
      </w:pPr>
      <w:r>
        <w:rPr>
          <w:b/>
          <w:color w:val="auto"/>
        </w:rPr>
        <w:t>Electric Power Retainer Package</w:t>
      </w:r>
      <w:r>
        <w:rPr>
          <w:b/>
        </w:rPr>
        <w:br/>
      </w:r>
      <w:r>
        <w:rPr>
          <w:i/>
        </w:rPr>
        <w:t>$19,500 annual subscription fee</w:t>
        <w:br/>
      </w:r>
      <w:r>
        <w:rPr>
          <w:rFonts w:cs="Palatino" w:ascii="Palatino" w:hAnsi="Palatino"/>
          <w:color w:val="auto"/>
        </w:rPr>
        <w:t>Clients who choose the Electric Power Retainer Package receive WEFA’s Electric Power Outlook and the full set of WEFA’s short-term outlooks: Global Petroleum Monthly, Natural Gas Monthly, and Coal Monthly, access to WEFA professionals for consultation, and participation in Video Conference Calls.</w:t>
      </w:r>
    </w:p>
    <w:p>
      <w:pPr>
        <w:pStyle w:val="QTEXT"/>
        <w:spacing w:before="120" w:after="0"/>
        <w:jc w:val="start"/>
        <w:rPr>
          <w:rFonts w:ascii="Palatino" w:hAnsi="Palatino" w:cs="Palatino"/>
          <w:b/>
          <w:color w:val="0000FF"/>
          <w:sz w:val="28"/>
        </w:rPr>
      </w:pPr>
      <w:r>
        <w:rPr>
          <w:rFonts w:cs="Palatino"/>
          <w:b/>
          <w:color w:val="0000FF"/>
          <w:sz w:val="28"/>
        </w:rPr>
      </w:r>
    </w:p>
    <w:tbl>
      <w:tblPr>
        <w:tblW w:w="4860" w:type="dxa"/>
        <w:jc w:val="start"/>
        <w:tblInd w:w="108" w:type="dxa"/>
        <w:tblLayout w:type="fixed"/>
        <w:tblCellMar>
          <w:top w:w="0" w:type="dxa"/>
          <w:start w:w="108" w:type="dxa"/>
          <w:bottom w:w="0" w:type="dxa"/>
          <w:end w:w="108" w:type="dxa"/>
        </w:tblCellMar>
      </w:tblPr>
      <w:tblGrid>
        <w:gridCol w:w="2250"/>
        <w:gridCol w:w="2610"/>
      </w:tblGrid>
      <w:tr>
        <w:trPr/>
        <w:tc>
          <w:tcPr>
            <w:tcW w:w="2250" w:type="dxa"/>
            <w:tcBorders>
              <w:top w:val="single" w:sz="12" w:space="0" w:color="000000"/>
              <w:start w:val="single" w:sz="12" w:space="0" w:color="000000"/>
              <w:bottom w:val="single" w:sz="12" w:space="0" w:color="000000"/>
              <w:end w:val="single" w:sz="6" w:space="0" w:color="000000"/>
            </w:tcBorders>
          </w:tcPr>
          <w:p>
            <w:pPr>
              <w:pStyle w:val="QIMAGEMAP"/>
              <w:spacing w:before="80" w:after="20"/>
              <w:rPr/>
            </w:pPr>
            <w:r>
              <w:rPr/>
              <w:t>.</w:t>
            </w:r>
            <w:r>
              <w:rPr/>
              <w:drawing>
                <wp:inline distT="0" distB="0" distL="0" distR="0">
                  <wp:extent cx="546100" cy="560070"/>
                  <wp:effectExtent l="0" t="0" r="0" b="0"/>
                  <wp:docPr id="14"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2" descr="" title=""/>
                          <pic:cNvPicPr>
                            <a:picLocks noChangeAspect="1" noChangeArrowheads="1"/>
                          </pic:cNvPicPr>
                        </pic:nvPicPr>
                        <pic:blipFill>
                          <a:blip r:embed="rId7"/>
                          <a:srcRect l="-11" t="-10" r="-11" b="-10"/>
                          <a:stretch>
                            <a:fillRect/>
                          </a:stretch>
                        </pic:blipFill>
                        <pic:spPr bwMode="auto">
                          <a:xfrm>
                            <a:off x="0" y="0"/>
                            <a:ext cx="546100" cy="560070"/>
                          </a:xfrm>
                          <a:prstGeom prst="rect">
                            <a:avLst/>
                          </a:prstGeom>
                          <a:noFill/>
                        </pic:spPr>
                      </pic:pic>
                    </a:graphicData>
                  </a:graphic>
                </wp:inline>
              </w:drawing>
            </w:r>
          </w:p>
        </w:tc>
        <w:tc>
          <w:tcPr>
            <w:tcW w:w="2610" w:type="dxa"/>
            <w:tcBorders>
              <w:top w:val="single" w:sz="12" w:space="0" w:color="000000"/>
              <w:start w:val="single" w:sz="6" w:space="0" w:color="000000"/>
              <w:bottom w:val="single" w:sz="12" w:space="0" w:color="000000"/>
              <w:end w:val="single" w:sz="12" w:space="0" w:color="000000"/>
            </w:tcBorders>
            <w:shd w:fill="0000FF" w:val="clear"/>
          </w:tcPr>
          <w:p>
            <w:pPr>
              <w:pStyle w:val="QIMAGEHEADING"/>
              <w:spacing w:before="240" w:after="240"/>
              <w:rPr>
                <w:color w:val="FFFFFF"/>
              </w:rPr>
            </w:pPr>
            <w:r>
              <w:rPr>
                <w:color w:val="FFFFFF"/>
              </w:rPr>
              <w:t>US Energy Market Intelligence Services</w:t>
            </w:r>
          </w:p>
        </w:tc>
      </w:tr>
    </w:tbl>
    <w:p>
      <w:pPr>
        <w:pStyle w:val="QPARAW0PRESPACE"/>
        <w:jc w:val="center"/>
        <w:rPr>
          <w:i/>
          <w:i/>
        </w:rPr>
      </w:pPr>
      <w:r>
        <w:rPr>
          <w:i/>
        </w:rPr>
        <w:t>All Retainer Services include telephone consultation access to WEFA professionals.</w:t>
      </w:r>
    </w:p>
    <w:p>
      <w:pPr>
        <w:pStyle w:val="QTEXT"/>
        <w:spacing w:before="120" w:after="0"/>
        <w:jc w:val="start"/>
        <w:rPr>
          <w:b/>
          <w:color w:val="0000FF"/>
          <w:sz w:val="28"/>
        </w:rPr>
      </w:pPr>
      <w:r>
        <w:rPr>
          <w:b/>
          <w:color w:val="0000FF"/>
          <w:sz w:val="28"/>
        </w:rPr>
        <w:t>US County Level Services</w:t>
      </w:r>
    </w:p>
    <w:p>
      <w:pPr>
        <w:pStyle w:val="subpara"/>
        <w:numPr>
          <w:ilvl w:val="0"/>
          <w:numId w:val="0"/>
        </w:numPr>
        <w:ind w:hanging="0" w:start="0"/>
        <w:rPr>
          <w:i/>
          <w:i/>
        </w:rPr>
      </w:pPr>
      <w:r>
        <w:rPr>
          <w:i/>
        </w:rPr>
        <w:t>$35,000 annual subscription fee for Data Service</w:t>
      </w:r>
    </w:p>
    <w:p>
      <w:pPr>
        <w:pStyle w:val="QTEXT"/>
        <w:spacing w:before="120" w:after="0"/>
        <w:jc w:val="start"/>
        <w:rPr/>
      </w:pPr>
      <w:r>
        <w:rPr>
          <w:b/>
        </w:rPr>
        <w:t>Electricity Market Intelligence Data Service</w:t>
        <w:br/>
      </w:r>
      <w:r>
        <w:rPr/>
        <w:t xml:space="preserve">Integrated database for commercial and industrial 4-digit Standard Industrial Classification codes including:  Electricity use, employment, number of establishments and output for all US counties. </w:t>
      </w:r>
    </w:p>
    <w:p>
      <w:pPr>
        <w:pStyle w:val="QTEXT"/>
        <w:spacing w:before="120" w:after="0"/>
        <w:jc w:val="start"/>
        <w:rPr/>
      </w:pPr>
      <w:r>
        <w:rPr>
          <w:b/>
        </w:rPr>
        <w:t>Natural Gas Market Intelligence Data Service</w:t>
        <w:br/>
      </w:r>
      <w:r>
        <w:rPr/>
        <w:t>Integrated database for commercial and industrial 4-digit Standard Industrial Classification codes including:  Natural gas use, employment, number of establishments and output for all US counties.</w:t>
      </w:r>
    </w:p>
    <w:p>
      <w:pPr>
        <w:pStyle w:val="QTEXT"/>
        <w:spacing w:before="120" w:after="0"/>
        <w:jc w:val="start"/>
        <w:rPr>
          <w:b/>
          <w:color w:val="0000FF"/>
          <w:sz w:val="28"/>
        </w:rPr>
      </w:pPr>
      <w:r>
        <w:rPr>
          <w:b/>
          <w:color w:val="0000FF"/>
          <w:sz w:val="28"/>
        </w:rPr>
      </w:r>
    </w:p>
    <w:tbl>
      <w:tblPr>
        <w:tblW w:w="4860" w:type="dxa"/>
        <w:jc w:val="start"/>
        <w:tblInd w:w="108" w:type="dxa"/>
        <w:tblLayout w:type="fixed"/>
        <w:tblCellMar>
          <w:top w:w="0" w:type="dxa"/>
          <w:start w:w="108" w:type="dxa"/>
          <w:bottom w:w="0" w:type="dxa"/>
          <w:end w:w="108" w:type="dxa"/>
        </w:tblCellMar>
      </w:tblPr>
      <w:tblGrid>
        <w:gridCol w:w="2455"/>
        <w:gridCol w:w="2405"/>
      </w:tblGrid>
      <w:tr>
        <w:trPr/>
        <w:tc>
          <w:tcPr>
            <w:tcW w:w="2455" w:type="dxa"/>
            <w:tcBorders>
              <w:top w:val="single" w:sz="12" w:space="0" w:color="000000"/>
              <w:start w:val="single" w:sz="12" w:space="0" w:color="000000"/>
              <w:bottom w:val="single" w:sz="12" w:space="0" w:color="000000"/>
              <w:end w:val="single" w:sz="6" w:space="0" w:color="000000"/>
            </w:tcBorders>
          </w:tcPr>
          <w:p>
            <w:pPr>
              <w:pStyle w:val="QIMAGEMAP"/>
              <w:spacing w:before="80" w:after="20"/>
              <w:rPr>
                <w:b w:val="false"/>
              </w:rPr>
            </w:pPr>
            <w:r>
              <w:rPr>
                <w:b w:val="false"/>
              </w:rPr>
              <w:object w:dxaOrig="1212" w:dyaOrig="870">
                <v:shapetype id="_x0000_tole_rId8" coordsize="21600,21600" o:spt="ole_rId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 type="_x0000_tole_rId8" style="width:60.6pt;height:43.5pt" filled="f" o:ole="">
                  <v:imagedata r:id="rId9" o:title=""/>
                </v:shape>
                <o:OLEObject Type="Embed" ProgID="" ShapeID="ole_rId8" DrawAspect="Content" ObjectID="_1133923557" r:id="rId8"/>
              </w:object>
            </w:r>
          </w:p>
        </w:tc>
        <w:tc>
          <w:tcPr>
            <w:tcW w:w="2405" w:type="dxa"/>
            <w:tcBorders>
              <w:top w:val="single" w:sz="12" w:space="0" w:color="000000"/>
              <w:start w:val="single" w:sz="6" w:space="0" w:color="000000"/>
              <w:bottom w:val="single" w:sz="12" w:space="0" w:color="000000"/>
              <w:end w:val="single" w:sz="12" w:space="0" w:color="000000"/>
            </w:tcBorders>
            <w:shd w:fill="0000FF" w:val="clear"/>
          </w:tcPr>
          <w:p>
            <w:pPr>
              <w:pStyle w:val="QIMAGEHEADING"/>
              <w:spacing w:before="240" w:after="240"/>
              <w:rPr>
                <w:color w:val="FFFFFF"/>
              </w:rPr>
            </w:pPr>
            <w:r>
              <w:rPr>
                <w:color w:val="FFFFFF"/>
              </w:rPr>
              <w:t>European Energy Retainer Services</w:t>
            </w:r>
          </w:p>
        </w:tc>
      </w:tr>
    </w:tbl>
    <w:p>
      <w:pPr>
        <w:pStyle w:val="QTEXT"/>
        <w:jc w:val="center"/>
        <w:rPr>
          <w:i/>
          <w:i/>
        </w:rPr>
      </w:pPr>
      <w:r>
        <w:rPr>
          <w:i/>
        </w:rPr>
        <w:t>All Retainer Services include telephone consultation access to WEFA professionals.</w:t>
      </w:r>
    </w:p>
    <w:p>
      <w:pPr>
        <w:pStyle w:val="QTEXT"/>
        <w:spacing w:before="120" w:after="0"/>
        <w:jc w:val="start"/>
        <w:rPr>
          <w:b/>
          <w:color w:val="0000FF"/>
          <w:sz w:val="28"/>
        </w:rPr>
      </w:pPr>
      <w:r>
        <w:rPr>
          <w:b/>
          <w:color w:val="0000FF"/>
          <w:sz w:val="28"/>
        </w:rPr>
        <w:t>European Energy Services</w:t>
      </w:r>
    </w:p>
    <w:p>
      <w:pPr>
        <w:pStyle w:val="QTEXT"/>
        <w:spacing w:before="120" w:after="0"/>
        <w:jc w:val="start"/>
        <w:rPr/>
      </w:pPr>
      <w:r>
        <w:rPr>
          <w:b/>
        </w:rPr>
        <w:t>UK Fuel Price Forecasting Service</w:t>
      </w:r>
      <w:r>
        <w:rPr>
          <w:i/>
        </w:rPr>
        <w:t xml:space="preserve"> </w:t>
      </w:r>
    </w:p>
    <w:p>
      <w:pPr>
        <w:pStyle w:val="QPARAW0PRESPACE"/>
        <w:rPr/>
      </w:pPr>
      <w:r>
        <w:rPr/>
        <w:t>Tracks developments in the energy markets in the United Kingdom. Short and long-term (2020) forecasts of fuel prices.</w:t>
      </w:r>
    </w:p>
    <w:p>
      <w:pPr>
        <w:pStyle w:val="QTEXT"/>
        <w:spacing w:before="120" w:after="0"/>
        <w:jc w:val="start"/>
        <w:rPr/>
      </w:pPr>
      <w:r>
        <w:rPr>
          <w:b/>
        </w:rPr>
        <w:t>Great Britain Gas and Power Dynamics</w:t>
        <w:br/>
      </w:r>
      <w:r>
        <w:rPr>
          <w:i/>
        </w:rPr>
        <w:t xml:space="preserve">(Three volumes:  long-term outlooks to 2020, mid-term outlook for 30 months, short-term outlook 3 months) </w:t>
      </w:r>
    </w:p>
    <w:p>
      <w:pPr>
        <w:pStyle w:val="QPARAW0PRESPACE"/>
        <w:rPr/>
      </w:pPr>
      <w:r>
        <w:rPr/>
        <w:t>Examines the development of the British gas market with emphasis on its links with the power industry.</w:t>
      </w:r>
    </w:p>
    <w:p>
      <w:pPr>
        <w:pStyle w:val="QTEXT"/>
        <w:spacing w:before="120" w:after="0"/>
        <w:jc w:val="start"/>
        <w:rPr/>
      </w:pPr>
      <w:r>
        <w:rPr>
          <w:b/>
        </w:rPr>
        <w:t>European Refinery Activity</w:t>
      </w:r>
      <w:r>
        <w:rPr>
          <w:b/>
          <w:i/>
          <w:sz w:val="22"/>
        </w:rPr>
        <w:br/>
      </w:r>
      <w:r>
        <w:rPr>
          <w:i/>
        </w:rPr>
        <w:t xml:space="preserve">(Monthly; forecasts for 6 months) </w:t>
      </w:r>
    </w:p>
    <w:p>
      <w:pPr>
        <w:pStyle w:val="QPARAW0PRESPACE"/>
        <w:rPr/>
      </w:pPr>
      <w:r>
        <w:rPr/>
        <w:t xml:space="preserve">Analysis and forecasts of utilization and profitability of refineries by type and region. </w:t>
      </w:r>
    </w:p>
    <w:p>
      <w:pPr>
        <w:pStyle w:val="QTEXT"/>
        <w:spacing w:before="120" w:after="0"/>
        <w:jc w:val="start"/>
        <w:rPr/>
      </w:pPr>
      <w:r>
        <w:rPr>
          <w:b/>
        </w:rPr>
        <w:t>European Fuel Price Forecasting Service</w:t>
      </w:r>
      <w:r>
        <w:rPr>
          <w:i/>
        </w:rPr>
        <w:t xml:space="preserve"> </w:t>
      </w:r>
    </w:p>
    <w:p>
      <w:pPr>
        <w:pStyle w:val="QPARAW0PRESPACE"/>
        <w:rPr/>
      </w:pPr>
      <w:r>
        <w:rPr/>
        <w:t>Tracks developments in the energy markets in Europe. Short and long-term (2020) forecasts of fuel prices.</w:t>
      </w:r>
    </w:p>
    <w:p>
      <w:pPr>
        <w:pStyle w:val="QTEXT"/>
        <w:spacing w:before="120" w:after="0"/>
        <w:jc w:val="start"/>
        <w:rPr/>
      </w:pPr>
      <w:r>
        <w:br w:type="column"/>
      </w:r>
      <w:r>
        <w:rPr>
          <w:b/>
        </w:rPr>
        <w:t>European Natural Gas Service</w:t>
        <w:br/>
      </w:r>
      <w:r>
        <w:rPr>
          <w:i/>
        </w:rPr>
        <w:t>(Annual two-volume set; forecasts to 2020)</w:t>
      </w:r>
    </w:p>
    <w:p>
      <w:pPr>
        <w:pStyle w:val="QPARAW0PRESPACE"/>
        <w:rPr/>
      </w:pPr>
      <w:r>
        <w:rPr/>
        <w:t xml:space="preserve">The European Natural Gas Report is an annual long-term assessment (forecasts to 2020) of market fundamentals: supply, demand, wellhead price and transportation costs and flows.  </w:t>
      </w:r>
    </w:p>
    <w:p>
      <w:pPr>
        <w:pStyle w:val="QTEXT"/>
        <w:spacing w:before="120" w:after="0"/>
        <w:jc w:val="start"/>
        <w:rPr/>
      </w:pPr>
      <w:r>
        <w:rPr>
          <w:b/>
        </w:rPr>
        <w:t>International Coal and Freight Quarterly</w:t>
        <w:br/>
      </w:r>
      <w:r>
        <w:rPr>
          <w:i/>
        </w:rPr>
        <w:t>(Quarterly with forecasts for 30 months)</w:t>
      </w:r>
    </w:p>
    <w:p>
      <w:pPr>
        <w:pStyle w:val="QPARAW0PRESPACE"/>
        <w:rPr/>
      </w:pPr>
      <w:r>
        <w:rPr/>
        <w:t>A short-term coal price and volume forecast. Two forecast reports per year.</w:t>
      </w:r>
    </w:p>
    <w:p>
      <w:pPr>
        <w:pStyle w:val="QTEXT"/>
        <w:spacing w:before="120" w:after="0"/>
        <w:jc w:val="start"/>
        <w:rPr/>
      </w:pPr>
      <w:r>
        <w:rPr>
          <w:b/>
        </w:rPr>
        <w:t>International Coal Trade Service</w:t>
        <w:br/>
      </w:r>
      <w:r>
        <w:rPr>
          <w:i/>
        </w:rPr>
        <w:t>(Annual two-volume set; forecasts to 2020)</w:t>
      </w:r>
    </w:p>
    <w:p>
      <w:pPr>
        <w:pStyle w:val="QPARAW0PRESPACE"/>
        <w:rPr/>
      </w:pPr>
      <w:r>
        <w:rPr/>
        <w:t>A comprehensive supply, demand and prices forecast report updated annually to reflect decisions announced over the previous year on mine expansions, new mines, port capacities, new power stations, environmental legislation, change in government policy, etc.  Includes a topical report discussing in-depth an aspect of the market.</w:t>
      </w:r>
    </w:p>
    <w:p>
      <w:pPr>
        <w:pStyle w:val="QTEXT"/>
        <w:spacing w:before="120" w:after="0"/>
        <w:jc w:val="start"/>
        <w:rPr>
          <w:b/>
          <w:color w:val="0000FF"/>
          <w:sz w:val="28"/>
        </w:rPr>
      </w:pPr>
      <w:r>
        <w:rPr>
          <w:b/>
          <w:color w:val="0000FF"/>
          <w:sz w:val="28"/>
        </w:rPr>
      </w:r>
    </w:p>
    <w:tbl>
      <w:tblPr>
        <w:tblW w:w="4860" w:type="dxa"/>
        <w:jc w:val="start"/>
        <w:tblInd w:w="108" w:type="dxa"/>
        <w:tblLayout w:type="fixed"/>
        <w:tblCellMar>
          <w:top w:w="0" w:type="dxa"/>
          <w:start w:w="108" w:type="dxa"/>
          <w:bottom w:w="0" w:type="dxa"/>
          <w:end w:w="108" w:type="dxa"/>
        </w:tblCellMar>
      </w:tblPr>
      <w:tblGrid>
        <w:gridCol w:w="2455"/>
        <w:gridCol w:w="2405"/>
      </w:tblGrid>
      <w:tr>
        <w:trPr/>
        <w:tc>
          <w:tcPr>
            <w:tcW w:w="2455" w:type="dxa"/>
            <w:tcBorders>
              <w:top w:val="single" w:sz="12" w:space="0" w:color="000000"/>
              <w:start w:val="single" w:sz="12" w:space="0" w:color="000000"/>
              <w:bottom w:val="single" w:sz="12" w:space="0" w:color="000000"/>
              <w:end w:val="single" w:sz="6" w:space="0" w:color="000000"/>
            </w:tcBorders>
          </w:tcPr>
          <w:p>
            <w:pPr>
              <w:pStyle w:val="QIMAGEMAP"/>
              <w:spacing w:before="80" w:after="20"/>
              <w:rPr/>
            </w:pPr>
            <w:r>
              <w:rPr/>
              <w:object w:dxaOrig="1491" w:dyaOrig="920">
                <v:shapetype id="_x0000_tole_rId10" coordsize="21600,21600" o:spt="ole_rId1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 type="_x0000_tole_rId10" style="width:74.55pt;height:46pt" filled="f" o:ole="">
                  <v:imagedata r:id="rId11" o:title=""/>
                </v:shape>
                <o:OLEObject Type="Embed" ProgID="" ShapeID="ole_rId10" DrawAspect="Content" ObjectID="_309226132" r:id="rId10"/>
              </w:object>
            </w:r>
          </w:p>
        </w:tc>
        <w:tc>
          <w:tcPr>
            <w:tcW w:w="2405" w:type="dxa"/>
            <w:tcBorders>
              <w:top w:val="single" w:sz="12" w:space="0" w:color="000000"/>
              <w:start w:val="single" w:sz="6" w:space="0" w:color="000000"/>
              <w:bottom w:val="single" w:sz="12" w:space="0" w:color="000000"/>
              <w:end w:val="single" w:sz="12" w:space="0" w:color="000000"/>
            </w:tcBorders>
            <w:shd w:fill="0000FF" w:val="clear"/>
          </w:tcPr>
          <w:p>
            <w:pPr>
              <w:pStyle w:val="QIMAGEHEADING"/>
              <w:spacing w:before="240" w:after="240"/>
              <w:rPr>
                <w:color w:val="FFFFFF"/>
              </w:rPr>
            </w:pPr>
            <w:r>
              <w:rPr>
                <w:color w:val="FFFFFF"/>
              </w:rPr>
              <w:t xml:space="preserve">Multi Client </w:t>
              <w:br/>
              <w:t>Studies</w:t>
            </w:r>
          </w:p>
        </w:tc>
      </w:tr>
    </w:tbl>
    <w:p>
      <w:pPr>
        <w:pStyle w:val="QTEXT"/>
        <w:jc w:val="center"/>
        <w:rPr>
          <w:i/>
          <w:i/>
        </w:rPr>
      </w:pPr>
      <w:r>
        <w:rPr>
          <w:i/>
        </w:rPr>
        <w:t>All Multi-client Studies include telephone consultation access to WEFA professionals.</w:t>
      </w:r>
    </w:p>
    <w:p>
      <w:pPr>
        <w:pStyle w:val="QTEXT"/>
        <w:jc w:val="center"/>
        <w:rPr>
          <w:i/>
          <w:i/>
        </w:rPr>
      </w:pPr>
      <w:r>
        <w:rPr>
          <w:i/>
        </w:rPr>
      </w:r>
    </w:p>
    <w:p>
      <w:pPr>
        <w:pStyle w:val="subpara"/>
        <w:numPr>
          <w:ilvl w:val="0"/>
          <w:numId w:val="13"/>
        </w:numPr>
        <w:ind w:hanging="0" w:start="0"/>
        <w:rPr>
          <w:b/>
          <w:color w:val="auto"/>
        </w:rPr>
      </w:pPr>
      <w:r>
        <w:rPr>
          <w:b/>
          <w:color w:val="auto"/>
        </w:rPr>
        <w:t>Banking On Advanced Gas Turbines</w:t>
      </w:r>
    </w:p>
    <w:p>
      <w:pPr>
        <w:pStyle w:val="subpara"/>
        <w:numPr>
          <w:ilvl w:val="0"/>
          <w:numId w:val="13"/>
        </w:numPr>
        <w:ind w:hanging="0" w:start="0"/>
        <w:rPr>
          <w:b/>
          <w:color w:val="auto"/>
        </w:rPr>
      </w:pPr>
      <w:r>
        <w:rPr>
          <w:b/>
          <w:color w:val="auto"/>
        </w:rPr>
        <w:t>Northeast Natural Gas Market:  Risks and Opportunities</w:t>
      </w:r>
    </w:p>
    <w:p>
      <w:pPr>
        <w:pStyle w:val="QTEXT"/>
        <w:numPr>
          <w:ilvl w:val="0"/>
          <w:numId w:val="14"/>
        </w:numPr>
        <w:spacing w:before="20" w:after="80"/>
        <w:jc w:val="start"/>
        <w:rPr>
          <w:b/>
          <w:sz w:val="19"/>
        </w:rPr>
      </w:pPr>
      <w:r>
        <w:rPr>
          <w:b/>
          <w:sz w:val="19"/>
        </w:rPr>
        <w:t>Subtracted Value: Performance Benchmarking of US Thermal Power Plants</w:t>
      </w:r>
    </w:p>
    <w:p>
      <w:pPr>
        <w:pStyle w:val="QTEXT"/>
        <w:numPr>
          <w:ilvl w:val="0"/>
          <w:numId w:val="14"/>
        </w:numPr>
        <w:spacing w:before="120" w:after="80"/>
        <w:jc w:val="start"/>
        <w:rPr>
          <w:b/>
          <w:sz w:val="19"/>
        </w:rPr>
      </w:pPr>
      <w:r>
        <w:rPr>
          <w:b/>
          <w:sz w:val="19"/>
        </w:rPr>
        <w:t>Convergence between Gas and Power in Europe</w:t>
      </w:r>
    </w:p>
    <w:p>
      <w:pPr>
        <w:pStyle w:val="QTEXT"/>
        <w:numPr>
          <w:ilvl w:val="0"/>
          <w:numId w:val="14"/>
        </w:numPr>
        <w:spacing w:before="120" w:after="80"/>
        <w:jc w:val="start"/>
        <w:rPr>
          <w:b/>
          <w:sz w:val="19"/>
        </w:rPr>
      </w:pPr>
      <w:r>
        <w:rPr>
          <w:b/>
          <w:sz w:val="19"/>
        </w:rPr>
        <w:t>Gas Storage:  Future Needs and Commercial Value</w:t>
      </w:r>
    </w:p>
    <w:p>
      <w:pPr>
        <w:pStyle w:val="QTEXT"/>
        <w:numPr>
          <w:ilvl w:val="0"/>
          <w:numId w:val="14"/>
        </w:numPr>
        <w:spacing w:before="120" w:after="80"/>
        <w:jc w:val="start"/>
        <w:rPr>
          <w:b/>
          <w:sz w:val="19"/>
        </w:rPr>
      </w:pPr>
      <w:r>
        <w:rPr>
          <w:b/>
          <w:sz w:val="19"/>
        </w:rPr>
        <w:t>The Natural Gas Public Distribution Sector</w:t>
      </w:r>
    </w:p>
    <w:p>
      <w:pPr>
        <w:pStyle w:val="QTEXT"/>
        <w:numPr>
          <w:ilvl w:val="0"/>
          <w:numId w:val="14"/>
        </w:numPr>
        <w:spacing w:before="120" w:after="80"/>
        <w:jc w:val="start"/>
        <w:rPr>
          <w:b/>
          <w:sz w:val="19"/>
        </w:rPr>
      </w:pPr>
      <w:r>
        <w:rPr>
          <w:b/>
          <w:sz w:val="19"/>
        </w:rPr>
        <w:t>Liberalization of the Electric Markets in Europe</w:t>
      </w:r>
    </w:p>
    <w:p>
      <w:pPr>
        <w:pStyle w:val="QTEXT"/>
        <w:numPr>
          <w:ilvl w:val="0"/>
          <w:numId w:val="14"/>
        </w:numPr>
        <w:spacing w:before="120" w:after="80"/>
        <w:jc w:val="start"/>
        <w:rPr>
          <w:b/>
          <w:sz w:val="19"/>
        </w:rPr>
      </w:pPr>
      <w:r>
        <w:rPr>
          <w:b/>
          <w:sz w:val="19"/>
        </w:rPr>
        <w:t>International Coal: The U.S. as a Swing Supplier</w:t>
      </w:r>
    </w:p>
    <w:p>
      <w:pPr>
        <w:pStyle w:val="QTEXT"/>
        <w:numPr>
          <w:ilvl w:val="0"/>
          <w:numId w:val="14"/>
        </w:numPr>
        <w:spacing w:before="120" w:after="80"/>
        <w:jc w:val="start"/>
        <w:rPr>
          <w:sz w:val="19"/>
        </w:rPr>
      </w:pPr>
      <w:r>
        <w:rPr>
          <w:b/>
          <w:sz w:val="19"/>
        </w:rPr>
        <w:t>International Coal: The Economics of Coal vs. Gas</w:t>
      </w:r>
    </w:p>
    <w:p>
      <w:pPr>
        <w:pStyle w:val="QTEXT"/>
        <w:numPr>
          <w:ilvl w:val="0"/>
          <w:numId w:val="14"/>
        </w:numPr>
        <w:spacing w:before="120" w:after="80"/>
        <w:jc w:val="start"/>
        <w:rPr>
          <w:b/>
          <w:sz w:val="19"/>
        </w:rPr>
      </w:pPr>
      <w:r>
        <w:rPr>
          <w:b/>
          <w:sz w:val="19"/>
        </w:rPr>
        <w:t>The Kyoto Protocol:  A Reality Check</w:t>
      </w:r>
      <w:r>
        <w:br w:type="page"/>
      </w:r>
    </w:p>
    <w:p>
      <w:pPr>
        <w:pStyle w:val="QTEXT"/>
        <w:spacing w:before="20" w:after="80"/>
        <w:jc w:val="start"/>
        <w:rPr>
          <w:b/>
          <w:sz w:val="4"/>
        </w:rPr>
      </w:pPr>
      <w:r>
        <w:rPr>
          <w:b/>
          <w:sz w:val="4"/>
        </w:rPr>
      </w:r>
    </w:p>
    <w:p>
      <w:pPr>
        <w:pStyle w:val="QHEADING"/>
        <w:shd w:fill="0000FF" w:val="clear"/>
        <w:spacing w:before="0" w:after="120"/>
        <w:rPr>
          <w:color w:val="FFFFFF"/>
        </w:rPr>
      </w:pPr>
      <w:r>
        <w:rPr>
          <w:color w:val="FFFFFF"/>
        </w:rPr>
        <w:t>Biographies of</w:t>
        <w:br/>
        <w:t>WEFA Energy Services</w:t>
      </w:r>
    </w:p>
    <w:p>
      <w:pPr>
        <w:pStyle w:val="QTEXT"/>
        <w:rPr/>
      </w:pPr>
      <w:r>
        <w:rPr>
          <w:b/>
        </w:rPr>
        <w:br/>
      </w:r>
      <w:r>
        <w:rPr>
          <w:b/>
          <w:sz w:val="21"/>
        </w:rPr>
        <w:t>Mary Novak, Senior Vice President,</w:t>
      </w:r>
      <w:r>
        <w:rPr>
          <w:sz w:val="21"/>
        </w:rPr>
        <w:t xml:space="preserve"> directs WEFA’s North American Energy Services. In this position, Ms. Novak is responsible for the fuel and electric market analyses and products which comprise the overall North American Energy Service. Further, Ms. Novak is responsible for WEFA’s domestic energy and environmental consulting engagements. Previously, Ms. Novak was a Principal of DRI/McGraw-Hill’s Energy and Environmental Consulting Practice and Director of DRI’s U.S. Energy Services. Ms. Novak has 20 years experience in forecasting and strategic consulting.</w:t>
      </w:r>
    </w:p>
    <w:p>
      <w:pPr>
        <w:pStyle w:val="QTEXT"/>
        <w:rPr>
          <w:sz w:val="21"/>
        </w:rPr>
      </w:pPr>
      <w:r>
        <w:rPr>
          <w:sz w:val="21"/>
        </w:rPr>
      </w:r>
    </w:p>
    <w:p>
      <w:pPr>
        <w:pStyle w:val="QTEXT"/>
        <w:rPr/>
      </w:pPr>
      <w:r>
        <w:rPr>
          <w:b/>
          <w:sz w:val="21"/>
        </w:rPr>
        <w:t>Michael Lynch, Vice President, Global Petroleum Service,</w:t>
      </w:r>
      <w:r>
        <w:rPr>
          <w:sz w:val="21"/>
        </w:rPr>
        <w:t xml:space="preserve"> has 20 years experience analyzing global energy markets.  Most recently, Mr. Lynch has been Director, Asian Energy and Security, Center for International Studies, Massachusetts Institute of Technology. Numerous energy companies and governments in Asia and the Middle East have funded his research. Earlier in his career, Mr. Lynch was an Associate of the MIT Energy Laboratory’s International Energy Studies Program and MIT’s Technology Adaptation Program.</w:t>
      </w:r>
    </w:p>
    <w:p>
      <w:pPr>
        <w:pStyle w:val="QTEXT"/>
        <w:rPr>
          <w:sz w:val="21"/>
        </w:rPr>
      </w:pPr>
      <w:r>
        <w:rPr>
          <w:sz w:val="21"/>
        </w:rPr>
      </w:r>
    </w:p>
    <w:p>
      <w:pPr>
        <w:pStyle w:val="QTEXT"/>
        <w:rPr/>
      </w:pPr>
      <w:r>
        <w:rPr>
          <w:b/>
          <w:sz w:val="21"/>
        </w:rPr>
        <w:t>Ron Denhardt, Vice President,</w:t>
      </w:r>
      <w:r>
        <w:rPr>
          <w:sz w:val="21"/>
        </w:rPr>
        <w:t xml:space="preserve"> </w:t>
      </w:r>
      <w:r>
        <w:rPr>
          <w:b/>
          <w:sz w:val="21"/>
        </w:rPr>
        <w:t>Natural Gas Service,</w:t>
      </w:r>
      <w:r>
        <w:rPr>
          <w:sz w:val="21"/>
        </w:rPr>
        <w:t xml:space="preserve"> has 20 years experience in the energy industry, focusing on the natural gas and electric industries. His experience includes strategic planning, acquisition analysis, regulatory analysis, market evaluations, fuel planning, supply contracting, risk mitigation, transportation, pricing, pipeline economics, developing electricity demand and system load shape models, and investment decision analyses.  He has served as an expert witness in natural gas proceedings. Prior to joining WEFA, Mr. Denhardt was a Principal at Jensen Associates Inc.</w:t>
      </w:r>
    </w:p>
    <w:p>
      <w:pPr>
        <w:pStyle w:val="QTEXT"/>
        <w:rPr>
          <w:sz w:val="21"/>
        </w:rPr>
      </w:pPr>
      <w:r>
        <w:rPr>
          <w:sz w:val="21"/>
        </w:rPr>
      </w:r>
    </w:p>
    <w:p>
      <w:pPr>
        <w:pStyle w:val="QTEXT"/>
        <w:rPr/>
      </w:pPr>
      <w:r>
        <w:rPr>
          <w:b/>
          <w:sz w:val="21"/>
        </w:rPr>
        <w:t>Kemm Farney, Vice President, Electric Power Service,</w:t>
      </w:r>
      <w:r>
        <w:rPr>
          <w:sz w:val="21"/>
        </w:rPr>
        <w:t xml:space="preserve"> has 25 years experience as a practicing economist working in regulated and recently deregulated industries. Dr. Farney previously served as Chief Economist at a large mid-western utility. His areas of expertise include econometric and statistical analysis, cost/benefit and feasibility analysis, strategic planning and competitive</w:t>
      </w:r>
    </w:p>
    <w:p>
      <w:pPr>
        <w:pStyle w:val="QTEXT"/>
        <w:rPr/>
      </w:pPr>
      <w:r>
        <w:br w:type="column"/>
      </w:r>
      <w:r>
        <w:rPr>
          <w:sz w:val="21"/>
        </w:rPr>
        <w:t>benchmarking. He received his doctorate from Florida State University; his dissertation was nuclear powerplant construction cost overruns.</w:t>
      </w:r>
    </w:p>
    <w:p>
      <w:pPr>
        <w:pStyle w:val="QTEXT"/>
        <w:rPr>
          <w:sz w:val="21"/>
        </w:rPr>
      </w:pPr>
      <w:r>
        <w:rPr>
          <w:sz w:val="21"/>
        </w:rPr>
      </w:r>
    </w:p>
    <w:p>
      <w:pPr>
        <w:pStyle w:val="QTEXT"/>
        <w:rPr/>
      </w:pPr>
      <w:r>
        <w:rPr>
          <w:b/>
          <w:sz w:val="21"/>
        </w:rPr>
        <w:t>John Dean, Consulting Coal Economist and President of JD Energy, an Affiliate of WEFA,</w:t>
      </w:r>
      <w:r>
        <w:rPr>
          <w:sz w:val="21"/>
        </w:rPr>
        <w:t xml:space="preserve"> has 25 years experience in coal, coal transportation and power analysis.  He has conducted site-specific coal price forecasts for over 100 utility and industrial companies, written extensively on coal contracting issues, and directed policy analyses on such issues as acid rain and other environmental legislation coal market shifts, and the impact of tax changes on the coal industry. Mr. Dean formerly directed DRI’s Coal and Fuel Procurement Services.</w:t>
      </w:r>
    </w:p>
    <w:p>
      <w:pPr>
        <w:pStyle w:val="QTEXT"/>
        <w:rPr>
          <w:sz w:val="21"/>
        </w:rPr>
      </w:pPr>
      <w:r>
        <w:rPr>
          <w:sz w:val="21"/>
        </w:rPr>
      </w:r>
    </w:p>
    <w:p>
      <w:pPr>
        <w:pStyle w:val="QTEXT"/>
        <w:rPr/>
      </w:pPr>
      <w:r>
        <w:rPr>
          <w:b/>
          <w:sz w:val="21"/>
        </w:rPr>
        <w:t>Graham Weale, Senior Vice President,</w:t>
      </w:r>
      <w:r>
        <w:rPr>
          <w:sz w:val="21"/>
        </w:rPr>
        <w:t xml:space="preserve"> is responsible for WEFA’s European Energy Services. Mr. Weale is a specialist in the field of inter-fuel competition, managing numerous studies on the economics of power technology. Founder of the European Oil Refining Conference, Mr. Weale has also authored reports on refining and automotive fuels, represented various European gas companies, and served as an expert witness in contractual disputes. Mr. Weale formerly held positions with Esso Petroleum, and is a Fellow of the Institute of Petroleum.</w:t>
      </w:r>
    </w:p>
    <w:p>
      <w:pPr>
        <w:pStyle w:val="QTEXT"/>
        <w:rPr>
          <w:sz w:val="21"/>
        </w:rPr>
      </w:pPr>
      <w:r>
        <w:rPr>
          <w:sz w:val="21"/>
        </w:rPr>
      </w:r>
    </w:p>
    <w:p>
      <w:pPr>
        <w:pStyle w:val="QTEXT"/>
        <w:rPr/>
      </w:pPr>
      <w:r>
        <w:rPr>
          <w:b/>
          <w:sz w:val="21"/>
        </w:rPr>
        <w:t>David Goldsack, Manager, World Coal Service,</w:t>
      </w:r>
      <w:r>
        <w:rPr>
          <w:sz w:val="21"/>
        </w:rPr>
        <w:t xml:space="preserve"> has 25 years experience of the coal trade which includes positions as managing director of two major coal trading companies. He has extensive first hand knowledge of the markets and coal trading practices.</w:t>
      </w:r>
    </w:p>
    <w:p>
      <w:pPr>
        <w:pStyle w:val="QTEXT"/>
        <w:rPr>
          <w:sz w:val="21"/>
        </w:rPr>
      </w:pPr>
      <w:r>
        <w:rPr>
          <w:sz w:val="21"/>
        </w:rPr>
      </w:r>
    </w:p>
    <w:p>
      <w:pPr>
        <w:pStyle w:val="QTEXT"/>
        <w:rPr>
          <w:sz w:val="21"/>
        </w:rPr>
      </w:pPr>
      <w:r>
        <w:rPr>
          <w:b/>
          <w:sz w:val="21"/>
          <w:lang w:eastAsia="en-US"/>
        </w:rPr>
        <w:t>Graham Freedman, Manager, European Gas Service</w:t>
      </w:r>
      <w:r>
        <w:rPr>
          <w:sz w:val="21"/>
          <w:lang w:eastAsia="en-US"/>
        </w:rPr>
        <w:t>, has 20 years of energy experience in Europe, including a tenure at British Gas and Purvin &amp; Gertz, International Energy Consultants. Mr. Freedman joined WEFA in 1999 as Manager, European Gas Services. He is responsible for producing the annual gas supply/demand report for Europe and is currently undertaking a special study reviewing long-term gas supply options for Europe.</w:t>
      </w:r>
    </w:p>
    <w:p>
      <w:pPr>
        <w:pStyle w:val="QTEXT"/>
        <w:rPr>
          <w:sz w:val="21"/>
        </w:rPr>
      </w:pPr>
      <w:r>
        <w:rPr>
          <w:sz w:val="21"/>
        </w:rPr>
      </w:r>
    </w:p>
    <w:p>
      <w:pPr>
        <w:pStyle w:val="QTEXT"/>
        <w:rPr/>
      </w:pPr>
      <w:r>
        <w:rPr>
          <w:b/>
          <w:sz w:val="21"/>
        </w:rPr>
        <w:t>Graham Loveland, Manager, European Oil Service,</w:t>
      </w:r>
      <w:r>
        <w:rPr>
          <w:sz w:val="21"/>
        </w:rPr>
        <w:t xml:space="preserve"> has 27 years with Shell International where he gained extensive experience of the global industry. His most recent position with Shell was in their corporate planning department. He is an economics graduate from Salford University.</w:t>
      </w:r>
    </w:p>
    <w:p>
      <w:pPr>
        <w:pStyle w:val="Normal"/>
        <w:rPr>
          <w:sz w:val="21"/>
        </w:rPr>
      </w:pPr>
      <w:r>
        <w:rPr>
          <w:sz w:val="21"/>
        </w:rPr>
      </w:r>
    </w:p>
    <w:sectPr>
      <w:footerReference w:type="default" r:id="rId12"/>
      <w:footerReference w:type="first" r:id="rId13"/>
      <w:type w:val="nextPage"/>
      <w:pgSz w:w="12240" w:h="15840"/>
      <w:pgMar w:left="1080" w:right="1080" w:gutter="0" w:header="0" w:top="1584" w:footer="720" w:bottom="1440"/>
      <w:pgNumType w:fmt="decimal"/>
      <w:cols w:num="2" w:space="720" w:equalWidth="true" w:sep="false"/>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Helvetica">
    <w:altName w:val="Arial"/>
    <w:charset w:val="00" w:characterSet="windows-1252"/>
    <w:family w:val="swiss"/>
    <w:pitch w:val="variable"/>
  </w:font>
  <w:font w:name="Wingdings">
    <w:charset w:val="02"/>
    <w:family w:val="auto"/>
    <w:pitch w:val="variable"/>
  </w:font>
  <w:font w:name="Palatino">
    <w:charset w:val="00" w:characterSet="windows-1252"/>
    <w:family w:val="roman"/>
    <w:pitch w:val="variable"/>
  </w:font>
  <w:font w:name="Tahoma">
    <w:charset w:val="00" w:characterSet="windows-1252"/>
    <w:family w:val="swiss"/>
    <w:pitch w:val="variable"/>
  </w:font>
  <w:font w:name="Courier New">
    <w:charset w:val="00" w:characterSet="windows-1252"/>
    <w:family w:val="modern"/>
    <w:pitch w:val="default"/>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b/>
        <w:color w:val="000080"/>
        <w:sz w:val="18"/>
      </w:rPr>
    </w:pPr>
    <w:r>
      <w:rPr>
        <w:b/>
        <w:color w:val="000080"/>
        <w:sz w:val="18"/>
      </w:rPr>
      <w:t>For information on WEFA Energy Services, contact</w:t>
    </w:r>
  </w:p>
  <w:p>
    <w:pPr>
      <w:pStyle w:val="Footer"/>
      <w:jc w:val="center"/>
      <w:rPr>
        <w:b/>
        <w:color w:val="000080"/>
        <w:sz w:val="18"/>
      </w:rPr>
    </w:pPr>
    <w:r>
      <w:rPr>
        <w:b/>
        <w:color w:val="000080"/>
        <w:sz w:val="18"/>
      </w:rPr>
      <w:t>Peter McNabb at 416-513-0061</w:t>
    </w:r>
  </w:p>
  <w:p>
    <w:pPr>
      <w:pStyle w:val="Normal"/>
      <w:tabs>
        <w:tab w:val="clear" w:pos="720"/>
        <w:tab w:val="left" w:pos="3600" w:leader="none"/>
        <w:tab w:val="left" w:pos="7200" w:leader="none"/>
      </w:tabs>
      <w:spacing w:lineRule="auto" w:line="300"/>
      <w:jc w:val="center"/>
      <w:rPr/>
    </w:pPr>
    <w:hyperlink r:id="rId1">
      <w:r>
        <w:rPr>
          <w:rStyle w:val="Hyperlink"/>
        </w:rPr>
        <w:t>mcnabb@wefa.com</w:t>
      </w:r>
    </w:hyperlink>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b/>
        <w:color w:val="000080"/>
        <w:sz w:val="18"/>
      </w:rPr>
    </w:pPr>
    <w:r>
      <w:rPr>
        <w:b/>
        <w:color w:val="000080"/>
        <w:sz w:val="18"/>
      </w:rPr>
      <w:t>For information on WEFA Energy Services, contact</w:t>
    </w:r>
  </w:p>
  <w:p>
    <w:pPr>
      <w:pStyle w:val="Footer"/>
      <w:jc w:val="center"/>
      <w:rPr>
        <w:b/>
        <w:color w:val="000080"/>
        <w:sz w:val="18"/>
      </w:rPr>
    </w:pPr>
    <w:r>
      <w:rPr>
        <w:b/>
        <w:color w:val="000080"/>
        <w:sz w:val="18"/>
      </w:rPr>
      <w:t>Peter McNabb at 416-513-0061</w:t>
    </w:r>
  </w:p>
  <w:p>
    <w:pPr>
      <w:pStyle w:val="Normal"/>
      <w:tabs>
        <w:tab w:val="clear" w:pos="720"/>
        <w:tab w:val="left" w:pos="3600" w:leader="none"/>
        <w:tab w:val="left" w:pos="7200" w:leader="none"/>
      </w:tabs>
      <w:spacing w:lineRule="auto" w:line="300"/>
      <w:jc w:val="center"/>
      <w:rPr/>
    </w:pPr>
    <w:hyperlink r:id="rId1">
      <w:r>
        <w:rPr>
          <w:rStyle w:val="Hyperlink"/>
        </w:rPr>
        <w:t>mcnabb@wefa.com</w:t>
      </w:r>
    </w:hyperlink>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1800"/>
        </w:tabs>
        <w:ind w:start="1800" w:hanging="360"/>
      </w:pPr>
    </w:lvl>
  </w:abstractNum>
  <w:abstractNum w:abstractNumId="3">
    <w:lvl w:ilvl="0">
      <w:start w:val="1"/>
      <w:numFmt w:val="decimal"/>
      <w:lvlText w:val="%1."/>
      <w:lvlJc w:val="start"/>
      <w:pPr>
        <w:tabs>
          <w:tab w:val="num" w:pos="1440"/>
        </w:tabs>
        <w:ind w:start="1440" w:hanging="360"/>
      </w:pPr>
    </w:lvl>
  </w:abstractNum>
  <w:abstractNum w:abstractNumId="4">
    <w:lvl w:ilvl="0">
      <w:start w:val="1"/>
      <w:numFmt w:val="decimal"/>
      <w:lvlText w:val="%1."/>
      <w:lvlJc w:val="start"/>
      <w:pPr>
        <w:tabs>
          <w:tab w:val="num" w:pos="1080"/>
        </w:tabs>
        <w:ind w:start="1080" w:hanging="360"/>
      </w:pPr>
    </w:lvl>
  </w:abstractNum>
  <w:abstractNum w:abstractNumId="5">
    <w:lvl w:ilvl="0">
      <w:start w:val="1"/>
      <w:numFmt w:val="decimal"/>
      <w:lvlText w:val="%1."/>
      <w:lvlJc w:val="start"/>
      <w:pPr>
        <w:tabs>
          <w:tab w:val="num" w:pos="720"/>
        </w:tabs>
        <w:ind w:start="720" w:hanging="360"/>
      </w:pPr>
    </w:lvl>
  </w:abstractNum>
  <w:abstractNum w:abstractNumId="6">
    <w:lvl w:ilvl="0">
      <w:start w:val="1"/>
      <w:numFmt w:val="bullet"/>
      <w:lvlText w:val=""/>
      <w:lvlJc w:val="start"/>
      <w:pPr>
        <w:tabs>
          <w:tab w:val="num" w:pos="1800"/>
        </w:tabs>
        <w:ind w:start="1800" w:hanging="360"/>
      </w:pPr>
      <w:rPr>
        <w:rFonts w:ascii="Symbol" w:hAnsi="Symbol" w:cs="Symbol" w:hint="default"/>
      </w:rPr>
    </w:lvl>
  </w:abstractNum>
  <w:abstractNum w:abstractNumId="7">
    <w:lvl w:ilvl="0">
      <w:start w:val="1"/>
      <w:numFmt w:val="bullet"/>
      <w:lvlText w:val=""/>
      <w:lvlJc w:val="start"/>
      <w:pPr>
        <w:tabs>
          <w:tab w:val="num" w:pos="1440"/>
        </w:tabs>
        <w:ind w:start="1440" w:hanging="360"/>
      </w:pPr>
      <w:rPr>
        <w:rFonts w:ascii="Symbol" w:hAnsi="Symbol" w:cs="Symbol" w:hint="default"/>
      </w:rPr>
    </w:lvl>
  </w:abstractNum>
  <w:abstractNum w:abstractNumId="8">
    <w:lvl w:ilvl="0">
      <w:start w:val="1"/>
      <w:numFmt w:val="bullet"/>
      <w:lvlText w:val=""/>
      <w:lvlJc w:val="start"/>
      <w:pPr>
        <w:tabs>
          <w:tab w:val="num" w:pos="1080"/>
        </w:tabs>
        <w:ind w:start="1080" w:hanging="360"/>
      </w:pPr>
      <w:rPr>
        <w:rFonts w:ascii="Symbol" w:hAnsi="Symbol" w:cs="Symbol" w:hint="default"/>
      </w:rPr>
    </w:lvl>
  </w:abstractNum>
  <w:abstractNum w:abstractNumId="9">
    <w:lvl w:ilvl="0">
      <w:start w:val="1"/>
      <w:numFmt w:val="bullet"/>
      <w:lvlText w:val=""/>
      <w:lvlJc w:val="start"/>
      <w:pPr>
        <w:tabs>
          <w:tab w:val="num" w:pos="720"/>
        </w:tabs>
        <w:ind w:start="720" w:hanging="360"/>
      </w:pPr>
      <w:rPr>
        <w:rFonts w:ascii="Symbol" w:hAnsi="Symbol" w:cs="Symbol" w:hint="default"/>
      </w:rPr>
    </w:lvl>
  </w:abstractNum>
  <w:abstractNum w:abstractNumId="10">
    <w:lvl w:ilvl="0">
      <w:start w:val="1"/>
      <w:numFmt w:val="decimal"/>
      <w:lvlText w:val="%1."/>
      <w:lvlJc w:val="start"/>
      <w:pPr>
        <w:tabs>
          <w:tab w:val="num" w:pos="360"/>
        </w:tabs>
        <w:ind w:start="360" w:hanging="360"/>
      </w:pPr>
    </w:lvl>
  </w:abstractNum>
  <w:abstractNum w:abstractNumId="11">
    <w:lvl w:ilvl="0">
      <w:start w:val="1"/>
      <w:numFmt w:val="bullet"/>
      <w:lvlText w:val=""/>
      <w:lvlJc w:val="start"/>
      <w:pPr>
        <w:tabs>
          <w:tab w:val="num" w:pos="360"/>
        </w:tabs>
        <w:ind w:start="360" w:hanging="360"/>
      </w:pPr>
      <w:rPr>
        <w:rFonts w:ascii="Symbol" w:hAnsi="Symbol" w:cs="Symbol" w:hint="default"/>
      </w:rPr>
    </w:lvl>
  </w:abstractNum>
  <w:abstractNum w:abstractNumId="12">
    <w:lvl w:ilvl="0">
      <w:start w:val="1"/>
      <w:numFmt w:val="bullet"/>
      <w:lvlText w:val=""/>
      <w:lvlJc w:val="start"/>
      <w:pPr>
        <w:tabs>
          <w:tab w:val="num" w:pos="360"/>
        </w:tabs>
        <w:ind w:start="360" w:hanging="360"/>
      </w:pPr>
      <w:rPr>
        <w:rFonts w:ascii="Symbol" w:hAnsi="Symbol" w:cs="Symbol" w:hint="default"/>
      </w:rPr>
    </w:lvl>
  </w:abstractNum>
  <w:abstractNum w:abstractNumId="13">
    <w:lvl w:ilvl="0">
      <w:start w:val="1"/>
      <w:numFmt w:val="bullet"/>
      <w:lvlText w:val=""/>
      <w:lvlJc w:val="start"/>
      <w:pPr>
        <w:tabs>
          <w:tab w:val="num" w:pos="360"/>
        </w:tabs>
        <w:ind w:start="360" w:hanging="360"/>
      </w:pPr>
      <w:rPr>
        <w:rFonts w:ascii="Symbol" w:hAnsi="Symbol" w:cs="Symbol" w:hint="default"/>
      </w:rPr>
    </w:lvl>
  </w:abstractNum>
  <w:abstractNum w:abstractNumId="14">
    <w:lvl w:ilvl="0">
      <w:numFmt w:val="bullet"/>
      <w:lvlText w:val=""/>
      <w:lvlJc w:val="start"/>
      <w:pPr>
        <w:tabs>
          <w:tab w:val="num" w:pos="360"/>
        </w:tabs>
        <w:ind w:start="360" w:hanging="360"/>
      </w:pPr>
      <w:rPr>
        <w:rFonts w:ascii="Symbol" w:hAnsi="Symbol" w:cs="Symbol" w:hint="default"/>
      </w:rPr>
    </w:lvl>
  </w:abstractNum>
  <w:abstractNum w:abstractNumId="15">
    <w:lvl w:ilvl="0">
      <w:start w:val="1"/>
      <w:numFmt w:val="bullet"/>
      <w:lvlText w:val=""/>
      <w:lvlJc w:val="start"/>
      <w:pPr>
        <w:tabs>
          <w:tab w:val="num" w:pos="360"/>
        </w:tabs>
        <w:ind w:start="360" w:hanging="360"/>
      </w:pPr>
      <w:rPr>
        <w:rFonts w:ascii="Wingdings" w:hAnsi="Wingdings" w:cs="Wingdings"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w="http://schemas.openxmlformats.org/wordprocessingml/2006/main">
  <w:zoom w:percent="85"/>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1"/>
      <w:szCs w:val="20"/>
      <w:lang w:val="en-US" w:eastAsia="zh-CN" w:bidi="hi-IN"/>
    </w:rPr>
  </w:style>
  <w:style w:type="paragraph" w:styleId="Heading1">
    <w:name w:val="heading 1"/>
    <w:basedOn w:val="Normal"/>
    <w:next w:val="Normal"/>
    <w:qFormat/>
    <w:pPr>
      <w:keepNext w:val="true"/>
      <w:numPr>
        <w:ilvl w:val="0"/>
        <w:numId w:val="1"/>
      </w:numPr>
      <w:spacing w:before="240" w:after="120"/>
      <w:outlineLvl w:val="0"/>
    </w:pPr>
    <w:rPr>
      <w:rFonts w:ascii="Arial" w:hAnsi="Arial" w:cs="Arial"/>
      <w:b/>
      <w:kern w:val="2"/>
      <w:sz w:val="28"/>
    </w:rPr>
  </w:style>
  <w:style w:type="paragraph" w:styleId="Heading2">
    <w:name w:val="heading 2"/>
    <w:next w:val="Normal"/>
    <w:qFormat/>
    <w:pPr>
      <w:keepNext w:val="true"/>
      <w:keepLines/>
      <w:widowControl/>
      <w:numPr>
        <w:ilvl w:val="1"/>
        <w:numId w:val="1"/>
      </w:numPr>
      <w:suppressAutoHyphens w:val="true"/>
      <w:bidi w:val="0"/>
      <w:spacing w:before="240" w:after="60"/>
      <w:outlineLvl w:val="1"/>
    </w:pPr>
    <w:rPr>
      <w:rFonts w:ascii="Helvetica;Arial" w:hAnsi="Helvetica;Arial" w:eastAsia="Times New Roman" w:cs="Helvetica;Arial"/>
      <w:b/>
      <w:color w:val="000000"/>
      <w:sz w:val="24"/>
      <w:szCs w:val="20"/>
      <w:lang w:val="en-CA" w:eastAsia="zh-CN" w:bidi="hi-IN"/>
    </w:rPr>
  </w:style>
  <w:style w:type="paragraph" w:styleId="Heading3">
    <w:name w:val="heading 3"/>
    <w:basedOn w:val="HeadingBase"/>
    <w:next w:val="BodyText"/>
    <w:qFormat/>
    <w:pPr>
      <w:numPr>
        <w:ilvl w:val="2"/>
        <w:numId w:val="1"/>
      </w:numPr>
      <w:spacing w:before="120" w:after="120"/>
      <w:outlineLvl w:val="2"/>
    </w:pPr>
    <w:rPr>
      <w:sz w:val="22"/>
    </w:rPr>
  </w:style>
  <w:style w:type="paragraph" w:styleId="Heading4">
    <w:name w:val="heading 4"/>
    <w:basedOn w:val="Normal"/>
    <w:next w:val="Normal"/>
    <w:qFormat/>
    <w:pPr>
      <w:keepNext w:val="true"/>
      <w:numPr>
        <w:ilvl w:val="3"/>
        <w:numId w:val="1"/>
      </w:numPr>
      <w:spacing w:before="240" w:after="60"/>
      <w:outlineLvl w:val="3"/>
    </w:pPr>
    <w:rPr>
      <w:rFonts w:ascii="Arial" w:hAnsi="Arial" w:cs="Arial"/>
      <w:b/>
      <w:sz w:val="24"/>
    </w:rPr>
  </w:style>
  <w:style w:type="paragraph" w:styleId="Heading5">
    <w:name w:val="heading 5"/>
    <w:basedOn w:val="Normal"/>
    <w:next w:val="Normal"/>
    <w:qFormat/>
    <w:pPr>
      <w:numPr>
        <w:ilvl w:val="4"/>
        <w:numId w:val="1"/>
      </w:numPr>
      <w:spacing w:before="240" w:after="60"/>
      <w:outlineLvl w:val="4"/>
    </w:pPr>
    <w:rPr>
      <w:sz w:val="22"/>
    </w:rPr>
  </w:style>
  <w:style w:type="paragraph" w:styleId="Heading6">
    <w:name w:val="heading 6"/>
    <w:basedOn w:val="Normal"/>
    <w:next w:val="Normal"/>
    <w:qFormat/>
    <w:pPr>
      <w:numPr>
        <w:ilvl w:val="5"/>
        <w:numId w:val="1"/>
      </w:numPr>
      <w:spacing w:before="240" w:after="60"/>
      <w:outlineLvl w:val="5"/>
    </w:pPr>
    <w:rPr>
      <w:i/>
      <w:sz w:val="22"/>
    </w:rPr>
  </w:style>
  <w:style w:type="paragraph" w:styleId="Heading7">
    <w:name w:val="heading 7"/>
    <w:basedOn w:val="Normal"/>
    <w:next w:val="Normal"/>
    <w:qFormat/>
    <w:pPr>
      <w:numPr>
        <w:ilvl w:val="6"/>
        <w:numId w:val="1"/>
      </w:numPr>
      <w:spacing w:before="240" w:after="60"/>
      <w:outlineLvl w:val="6"/>
    </w:pPr>
    <w:rPr>
      <w:rFonts w:ascii="Arial" w:hAnsi="Arial" w:cs="Arial"/>
      <w:sz w:val="20"/>
    </w:rPr>
  </w:style>
  <w:style w:type="paragraph" w:styleId="Heading8">
    <w:name w:val="heading 8"/>
    <w:basedOn w:val="Normal"/>
    <w:next w:val="Normal"/>
    <w:qFormat/>
    <w:pPr>
      <w:numPr>
        <w:ilvl w:val="7"/>
        <w:numId w:val="1"/>
      </w:numPr>
      <w:spacing w:before="240" w:after="60"/>
      <w:outlineLvl w:val="7"/>
    </w:pPr>
    <w:rPr>
      <w:rFonts w:ascii="Arial" w:hAnsi="Arial" w:cs="Arial"/>
      <w:i/>
      <w:sz w:val="20"/>
    </w:rPr>
  </w:style>
  <w:style w:type="paragraph" w:styleId="Heading9">
    <w:name w:val="heading 9"/>
    <w:basedOn w:val="Normal"/>
    <w:next w:val="Normal"/>
    <w:qFormat/>
    <w:pPr>
      <w:numPr>
        <w:ilvl w:val="8"/>
        <w:numId w:val="1"/>
      </w:numPr>
      <w:spacing w:before="240" w:after="60"/>
      <w:outlineLvl w:val="8"/>
    </w:pPr>
    <w:rPr>
      <w:rFonts w:ascii="Arial" w:hAnsi="Arial" w:cs="Arial"/>
      <w:b/>
      <w:i/>
      <w:sz w:val="18"/>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3z0">
    <w:name w:val="WW8Num13z0"/>
    <w:qFormat/>
    <w:rPr>
      <w:rFonts w:ascii="Wingdings" w:hAnsi="Wingdings" w:cs="Wingdings"/>
      <w:color w:val="0000FF"/>
      <w:sz w:val="16"/>
    </w:rPr>
  </w:style>
  <w:style w:type="character" w:styleId="WW8Num15z0">
    <w:name w:val="WW8Num15z0"/>
    <w:qFormat/>
    <w:rPr>
      <w:rFonts w:ascii="Symbol" w:hAnsi="Symbol" w:cs="Symbol"/>
    </w:rPr>
  </w:style>
  <w:style w:type="character" w:styleId="WW8Num16z0">
    <w:name w:val="WW8Num16z0"/>
    <w:qFormat/>
    <w:rPr>
      <w:rFonts w:ascii="Wingdings" w:hAnsi="Wingdings" w:cs="Wingdings"/>
      <w:color w:val="auto"/>
      <w:sz w:val="16"/>
    </w:rPr>
  </w:style>
  <w:style w:type="character" w:styleId="WW8Num18z0">
    <w:name w:val="WW8Num18z0"/>
    <w:qFormat/>
    <w:rPr>
      <w:rFonts w:ascii="Wingdings" w:hAnsi="Wingdings" w:cs="Wingdings"/>
    </w:rPr>
  </w:style>
  <w:style w:type="character" w:styleId="WW8Num20z0">
    <w:name w:val="WW8Num20z0"/>
    <w:qFormat/>
    <w:rPr>
      <w:rFonts w:ascii="Symbol" w:hAnsi="Symbol" w:cs="Symbol"/>
    </w:rPr>
  </w:style>
  <w:style w:type="character" w:styleId="WW8Num21z0">
    <w:name w:val="WW8Num21z0"/>
    <w:qFormat/>
    <w:rPr>
      <w:rFonts w:ascii="Symbol" w:hAnsi="Symbol" w:cs="Symbol"/>
    </w:rPr>
  </w:style>
  <w:style w:type="character" w:styleId="WW8Num22z0">
    <w:name w:val="WW8Num22z0"/>
    <w:qFormat/>
    <w:rPr>
      <w:rFonts w:ascii="Symbol" w:hAnsi="Symbol" w:cs="Symbol"/>
    </w:rPr>
  </w:style>
  <w:style w:type="character" w:styleId="WW8Num23z0">
    <w:name w:val="WW8Num23z0"/>
    <w:qFormat/>
    <w:rPr>
      <w:rFonts w:ascii="Wingdings" w:hAnsi="Wingdings" w:cs="Wingdings"/>
      <w:color w:val="auto"/>
      <w:sz w:val="16"/>
    </w:rPr>
  </w:style>
  <w:style w:type="character" w:styleId="WW8Num24z0">
    <w:name w:val="WW8Num24z0"/>
    <w:qFormat/>
    <w:rPr>
      <w:rFonts w:ascii="Wingdings" w:hAnsi="Wingdings" w:cs="Wingdings"/>
    </w:rPr>
  </w:style>
  <w:style w:type="character" w:styleId="WW8Num26z0">
    <w:name w:val="WW8Num26z0"/>
    <w:qFormat/>
    <w:rPr>
      <w:rFonts w:ascii="Wingdings" w:hAnsi="Wingdings" w:cs="Wingdings"/>
    </w:rPr>
  </w:style>
  <w:style w:type="character" w:styleId="WW8Num27z0">
    <w:name w:val="WW8Num27z0"/>
    <w:qFormat/>
    <w:rPr>
      <w:rFonts w:ascii="Symbol" w:hAnsi="Symbol" w:cs="Symbol"/>
    </w:rPr>
  </w:style>
  <w:style w:type="character" w:styleId="WW8Num28z0">
    <w:name w:val="WW8Num28z0"/>
    <w:qFormat/>
    <w:rPr>
      <w:rFonts w:ascii="Wingdings" w:hAnsi="Wingdings" w:cs="Wingdings"/>
      <w:color w:val="008000"/>
      <w:sz w:val="16"/>
    </w:rPr>
  </w:style>
  <w:style w:type="character" w:styleId="WW8Num29z0">
    <w:name w:val="WW8Num29z0"/>
    <w:qFormat/>
    <w:rPr>
      <w:rFonts w:ascii="Symbol" w:hAnsi="Symbol" w:cs="Symbol"/>
    </w:rPr>
  </w:style>
  <w:style w:type="character" w:styleId="WW8Num31z0">
    <w:name w:val="WW8Num31z0"/>
    <w:qFormat/>
    <w:rPr>
      <w:rFonts w:ascii="Wingdings" w:hAnsi="Wingdings" w:cs="Wingdings"/>
      <w:color w:val="auto"/>
      <w:sz w:val="16"/>
    </w:rPr>
  </w:style>
  <w:style w:type="character" w:styleId="WW8Num32z0">
    <w:name w:val="WW8Num32z0"/>
    <w:qFormat/>
    <w:rPr>
      <w:rFonts w:ascii="Symbol" w:hAnsi="Symbol" w:cs="Symbol"/>
    </w:rPr>
  </w:style>
  <w:style w:type="character" w:styleId="WW8Num33z0">
    <w:name w:val="WW8Num33z0"/>
    <w:qFormat/>
    <w:rPr>
      <w:rFonts w:ascii="Wingdings" w:hAnsi="Wingdings" w:cs="Wingdings"/>
      <w:color w:val="auto"/>
      <w:sz w:val="16"/>
    </w:rPr>
  </w:style>
  <w:style w:type="character" w:styleId="WW8Num34z0">
    <w:name w:val="WW8Num34z0"/>
    <w:qFormat/>
    <w:rPr>
      <w:rFonts w:ascii="Wingdings" w:hAnsi="Wingdings" w:cs="Wingdings"/>
      <w:color w:val="0000FF"/>
      <w:sz w:val="16"/>
    </w:rPr>
  </w:style>
  <w:style w:type="character" w:styleId="WW8Num35z0">
    <w:name w:val="WW8Num35z0"/>
    <w:qFormat/>
    <w:rPr>
      <w:rFonts w:ascii="Wingdings" w:hAnsi="Wingdings" w:cs="Wingdings"/>
      <w:color w:val="auto"/>
      <w:sz w:val="16"/>
    </w:rPr>
  </w:style>
  <w:style w:type="character" w:styleId="WW8Num36z0">
    <w:name w:val="WW8Num36z0"/>
    <w:qFormat/>
    <w:rPr>
      <w:rFonts w:ascii="Wingdings" w:hAnsi="Wingdings" w:cs="Wingdings"/>
      <w:color w:val="auto"/>
      <w:sz w:val="16"/>
    </w:rPr>
  </w:style>
  <w:style w:type="character" w:styleId="WW8Num38z0">
    <w:name w:val="WW8Num38z0"/>
    <w:qFormat/>
    <w:rPr>
      <w:rFonts w:ascii="Wingdings" w:hAnsi="Wingdings" w:cs="Wingdings"/>
      <w:color w:val="auto"/>
      <w:sz w:val="16"/>
    </w:rPr>
  </w:style>
  <w:style w:type="character" w:styleId="WW8Num39z0">
    <w:name w:val="WW8Num39z0"/>
    <w:qFormat/>
    <w:rPr>
      <w:rFonts w:ascii="Wingdings" w:hAnsi="Wingdings" w:cs="Wingdings"/>
    </w:rPr>
  </w:style>
  <w:style w:type="character" w:styleId="WW8Num40z0">
    <w:name w:val="WW8Num40z0"/>
    <w:qFormat/>
    <w:rPr>
      <w:rFonts w:ascii="Wingdings" w:hAnsi="Wingdings" w:cs="Wingdings"/>
      <w:color w:val="0000FF"/>
      <w:sz w:val="16"/>
    </w:rPr>
  </w:style>
  <w:style w:type="character" w:styleId="WW8Num41z0">
    <w:name w:val="WW8Num41z0"/>
    <w:qFormat/>
    <w:rPr>
      <w:rFonts w:ascii="Wingdings" w:hAnsi="Wingdings" w:cs="Wingdings"/>
    </w:rPr>
  </w:style>
  <w:style w:type="character" w:styleId="WW8Num42z0">
    <w:name w:val="WW8Num42z0"/>
    <w:qFormat/>
    <w:rPr>
      <w:rFonts w:ascii="Wingdings" w:hAnsi="Wingdings" w:cs="Wingdings"/>
      <w:color w:val="auto"/>
      <w:sz w:val="16"/>
    </w:rPr>
  </w:style>
  <w:style w:type="character" w:styleId="WW8Num43z0">
    <w:name w:val="WW8Num43z0"/>
    <w:qFormat/>
    <w:rPr>
      <w:rFonts w:ascii="Symbol" w:hAnsi="Symbol" w:cs="Symbol"/>
    </w:rPr>
  </w:style>
  <w:style w:type="character" w:styleId="WW8Num44z0">
    <w:name w:val="WW8Num44z0"/>
    <w:qFormat/>
    <w:rPr>
      <w:rFonts w:ascii="Wingdings" w:hAnsi="Wingdings" w:cs="Wingdings"/>
      <w:color w:val="auto"/>
      <w:sz w:val="16"/>
    </w:rPr>
  </w:style>
  <w:style w:type="character" w:styleId="WW8Num47z0">
    <w:name w:val="WW8Num47z0"/>
    <w:qFormat/>
    <w:rPr>
      <w:rFonts w:ascii="Wingdings" w:hAnsi="Wingdings" w:cs="Wingdings"/>
      <w:color w:val="auto"/>
      <w:sz w:val="16"/>
    </w:rPr>
  </w:style>
  <w:style w:type="character" w:styleId="WW8Num48z0">
    <w:name w:val="WW8Num48z0"/>
    <w:qFormat/>
    <w:rPr>
      <w:rFonts w:ascii="Wingdings" w:hAnsi="Wingdings" w:cs="Wingdings"/>
    </w:rPr>
  </w:style>
  <w:style w:type="character" w:styleId="WW8Num49z0">
    <w:name w:val="WW8Num49z0"/>
    <w:qFormat/>
    <w:rPr>
      <w:rFonts w:ascii="Symbol" w:hAnsi="Symbol" w:cs="Symbol"/>
    </w:rPr>
  </w:style>
  <w:style w:type="character" w:styleId="WW8Num51z0">
    <w:name w:val="WW8Num51z0"/>
    <w:qFormat/>
    <w:rPr>
      <w:rFonts w:ascii="Wingdings" w:hAnsi="Wingdings" w:cs="Wingdings"/>
    </w:rPr>
  </w:style>
  <w:style w:type="character" w:styleId="WW8Num52z0">
    <w:name w:val="WW8Num52z0"/>
    <w:qFormat/>
    <w:rPr>
      <w:rFonts w:ascii="Symbol" w:hAnsi="Symbol" w:cs="Symbol"/>
    </w:rPr>
  </w:style>
  <w:style w:type="character" w:styleId="WW8Num53z0">
    <w:name w:val="WW8Num53z0"/>
    <w:qFormat/>
    <w:rPr>
      <w:rFonts w:ascii="Wingdings" w:hAnsi="Wingdings" w:cs="Wingdings"/>
      <w:color w:val="auto"/>
      <w:sz w:val="16"/>
    </w:rPr>
  </w:style>
  <w:style w:type="character" w:styleId="WW8Num54z0">
    <w:name w:val="WW8Num54z0"/>
    <w:qFormat/>
    <w:rPr>
      <w:rFonts w:ascii="Wingdings" w:hAnsi="Wingdings" w:cs="Wingdings"/>
      <w:color w:val="auto"/>
      <w:sz w:val="16"/>
    </w:rPr>
  </w:style>
  <w:style w:type="character" w:styleId="WW8Num55z0">
    <w:name w:val="WW8Num55z0"/>
    <w:qFormat/>
    <w:rPr>
      <w:rFonts w:ascii="Wingdings" w:hAnsi="Wingdings" w:cs="Wingdings"/>
    </w:rPr>
  </w:style>
  <w:style w:type="character" w:styleId="WW8Num57z0">
    <w:name w:val="WW8Num57z0"/>
    <w:qFormat/>
    <w:rPr>
      <w:rFonts w:ascii="Wingdings" w:hAnsi="Wingdings" w:cs="Wingdings"/>
      <w:color w:val="008000"/>
      <w:sz w:val="16"/>
    </w:rPr>
  </w:style>
  <w:style w:type="character" w:styleId="WW8Num58z0">
    <w:name w:val="WW8Num58z0"/>
    <w:qFormat/>
    <w:rPr>
      <w:rFonts w:ascii="Wingdings" w:hAnsi="Wingdings" w:cs="Wingdings"/>
    </w:rPr>
  </w:style>
  <w:style w:type="character" w:styleId="WW8Num59z0">
    <w:name w:val="WW8Num59z0"/>
    <w:qFormat/>
    <w:rPr>
      <w:rFonts w:ascii="Wingdings" w:hAnsi="Wingdings" w:cs="Wingdings"/>
      <w:color w:val="auto"/>
      <w:sz w:val="16"/>
    </w:rPr>
  </w:style>
  <w:style w:type="character" w:styleId="WW8Num60z0">
    <w:name w:val="WW8Num60z0"/>
    <w:qFormat/>
    <w:rPr>
      <w:rFonts w:ascii="Symbol" w:hAnsi="Symbol" w:cs="Symbol"/>
    </w:rPr>
  </w:style>
  <w:style w:type="character" w:styleId="WW8Num61z0">
    <w:name w:val="WW8Num61z0"/>
    <w:qFormat/>
    <w:rPr>
      <w:rFonts w:ascii="Wingdings" w:hAnsi="Wingdings" w:cs="Wingdings"/>
    </w:rPr>
  </w:style>
  <w:style w:type="character" w:styleId="WW8Num63z0">
    <w:name w:val="WW8Num63z0"/>
    <w:qFormat/>
    <w:rPr>
      <w:rFonts w:ascii="Wingdings" w:hAnsi="Wingdings" w:cs="Wingdings"/>
      <w:color w:val="auto"/>
      <w:sz w:val="16"/>
    </w:rPr>
  </w:style>
  <w:style w:type="character" w:styleId="WW8Num65z0">
    <w:name w:val="WW8Num65z0"/>
    <w:qFormat/>
    <w:rPr>
      <w:rFonts w:ascii="Symbol" w:hAnsi="Symbol" w:cs="Symbol"/>
    </w:rPr>
  </w:style>
  <w:style w:type="character" w:styleId="WW8Num66z0">
    <w:name w:val="WW8Num66z0"/>
    <w:qFormat/>
    <w:rPr>
      <w:rFonts w:ascii="Wingdings" w:hAnsi="Wingdings" w:cs="Wingdings"/>
      <w:color w:val="auto"/>
      <w:sz w:val="16"/>
    </w:rPr>
  </w:style>
  <w:style w:type="character" w:styleId="WW8Num68z0">
    <w:name w:val="WW8Num68z0"/>
    <w:qFormat/>
    <w:rPr>
      <w:rFonts w:ascii="Wingdings" w:hAnsi="Wingdings" w:cs="Wingdings"/>
      <w:color w:val="auto"/>
      <w:sz w:val="16"/>
    </w:rPr>
  </w:style>
  <w:style w:type="character" w:styleId="WW8Num69z0">
    <w:name w:val="WW8Num69z0"/>
    <w:qFormat/>
    <w:rPr>
      <w:rFonts w:ascii="Wingdings" w:hAnsi="Wingdings" w:cs="Wingdings"/>
      <w:color w:val="0000FF"/>
      <w:sz w:val="16"/>
    </w:rPr>
  </w:style>
  <w:style w:type="character" w:styleId="WW8Num70z0">
    <w:name w:val="WW8Num70z0"/>
    <w:qFormat/>
    <w:rPr>
      <w:rFonts w:ascii="Wingdings" w:hAnsi="Wingdings" w:cs="Wingdings"/>
    </w:rPr>
  </w:style>
  <w:style w:type="character" w:styleId="WW8Num72z0">
    <w:name w:val="WW8Num72z0"/>
    <w:qFormat/>
    <w:rPr>
      <w:rFonts w:ascii="Wingdings" w:hAnsi="Wingdings" w:cs="Wingdings"/>
    </w:rPr>
  </w:style>
  <w:style w:type="character" w:styleId="WW8Num74z0">
    <w:name w:val="WW8Num74z0"/>
    <w:qFormat/>
    <w:rPr>
      <w:rFonts w:ascii="Wingdings" w:hAnsi="Wingdings" w:cs="Wingdings"/>
    </w:rPr>
  </w:style>
  <w:style w:type="character" w:styleId="WW8Num75z0">
    <w:name w:val="WW8Num75z0"/>
    <w:qFormat/>
    <w:rPr>
      <w:rFonts w:ascii="Wingdings" w:hAnsi="Wingdings" w:cs="Wingdings"/>
      <w:color w:val="auto"/>
      <w:sz w:val="16"/>
    </w:rPr>
  </w:style>
  <w:style w:type="character" w:styleId="WW8NumSt1z0">
    <w:name w:val="WW8NumSt1z0"/>
    <w:qFormat/>
    <w:rPr>
      <w:rFonts w:ascii="Wingdings" w:hAnsi="Wingdings" w:cs="Wingdings"/>
      <w:color w:val="008000"/>
      <w:sz w:val="16"/>
    </w:rPr>
  </w:style>
  <w:style w:type="character" w:styleId="WW8NumSt2z0">
    <w:name w:val="WW8NumSt2z0"/>
    <w:qFormat/>
    <w:rPr>
      <w:rFonts w:ascii="Symbol" w:hAnsi="Symbol" w:cs="Symbol"/>
    </w:rPr>
  </w:style>
  <w:style w:type="character" w:styleId="WW8NumSt17z0">
    <w:name w:val="WW8NumSt17z0"/>
    <w:qFormat/>
    <w:rPr>
      <w:rFonts w:ascii="Wingdings" w:hAnsi="Wingdings" w:cs="Wingdings"/>
      <w:sz w:val="16"/>
    </w:rPr>
  </w:style>
  <w:style w:type="character" w:styleId="DefaultParagraphFont">
    <w:name w:val="Default Paragraph Font"/>
    <w:qFormat/>
    <w:rPr/>
  </w:style>
  <w:style w:type="character" w:styleId="PageNumber">
    <w:name w:val="page number"/>
    <w:rPr>
      <w:b/>
    </w:rPr>
  </w:style>
  <w:style w:type="character" w:styleId="FootnoteCharacters">
    <w:name w:val="Footnote Characters"/>
    <w:basedOn w:val="DefaultParagraphFont"/>
    <w:qFormat/>
    <w:rPr>
      <w:vertAlign w:val="superscript"/>
    </w:rPr>
  </w:style>
  <w:style w:type="character" w:styleId="Hyperlink">
    <w:name w:val="Hyperlink"/>
    <w:basedOn w:val="DefaultParagraphFont"/>
    <w:rPr>
      <w:color w:val="0000FF"/>
      <w:u w:val="single"/>
    </w:rPr>
  </w:style>
  <w:style w:type="paragraph" w:styleId="Heading">
    <w:name w:val="Heading"/>
    <w:basedOn w:val="HeadingBase"/>
    <w:next w:val="BodyText"/>
    <w:qFormat/>
    <w:pPr>
      <w:spacing w:before="240" w:after="360"/>
      <w:jc w:val="center"/>
    </w:pPr>
    <w:rPr>
      <w:rFonts w:ascii="Helvetica;Arial" w:hAnsi="Helvetica;Arial" w:cs="Helvetica;Arial"/>
    </w:rPr>
  </w:style>
  <w:style w:type="paragraph" w:styleId="BodyText">
    <w:name w:val="Body Text"/>
    <w:basedOn w:val="Normal"/>
    <w:pPr>
      <w:tabs>
        <w:tab w:val="clear" w:pos="720"/>
        <w:tab w:val="left" w:pos="432" w:leader="none"/>
      </w:tabs>
      <w:spacing w:before="0" w:after="120"/>
      <w:jc w:val="both"/>
    </w:pPr>
    <w:rPr/>
  </w:style>
  <w:style w:type="paragraph" w:styleId="List">
    <w:name w:val="List"/>
    <w:basedOn w:val="Normal"/>
    <w:pPr>
      <w:ind w:hanging="360" w:start="360" w:end="0"/>
    </w:pPr>
    <w:rPr/>
  </w:style>
  <w:style w:type="paragraph" w:styleId="Caption">
    <w:name w:val="caption"/>
    <w:basedOn w:val="Normal"/>
    <w:next w:val="Normal"/>
    <w:qFormat/>
    <w:pPr>
      <w:spacing w:before="120" w:after="120"/>
    </w:pPr>
    <w:rPr>
      <w:b/>
    </w:rPr>
  </w:style>
  <w:style w:type="paragraph" w:styleId="Index">
    <w:name w:val="Index"/>
    <w:basedOn w:val="Normal"/>
    <w:qFormat/>
    <w:pPr>
      <w:suppressLineNumbers/>
    </w:pPr>
    <w:rPr>
      <w:rFonts w:cs="NotoSans NF"/>
    </w:rPr>
  </w:style>
  <w:style w:type="paragraph" w:styleId="HeadingBase">
    <w:name w:val="Heading Base"/>
    <w:basedOn w:val="Normal"/>
    <w:next w:val="BodyText"/>
    <w:qFormat/>
    <w:pPr>
      <w:keepNext w:val="true"/>
      <w:keepLines/>
      <w:tabs>
        <w:tab w:val="clear" w:pos="720"/>
        <w:tab w:val="left" w:pos="432" w:leader="none"/>
      </w:tabs>
      <w:spacing w:before="240" w:after="120"/>
      <w:jc w:val="both"/>
    </w:pPr>
    <w:rPr>
      <w:rFonts w:ascii="Arial" w:hAnsi="Arial" w:cs="Arial"/>
      <w:b/>
      <w:kern w:val="2"/>
      <w:sz w:val="36"/>
    </w:rPr>
  </w:style>
  <w:style w:type="paragraph" w:styleId="wooutpara">
    <w:name w:val="wo_outpara"/>
    <w:next w:val="Normal"/>
    <w:qFormat/>
    <w:pPr>
      <w:keepNext w:val="true"/>
      <w:keepLines/>
      <w:widowControl/>
      <w:tabs>
        <w:tab w:val="clear" w:pos="720"/>
        <w:tab w:val="right" w:pos="2736" w:leader="none"/>
        <w:tab w:val="right" w:pos="3139" w:leader="none"/>
      </w:tabs>
      <w:bidi w:val="0"/>
      <w:spacing w:lineRule="exact" w:line="220"/>
    </w:pPr>
    <w:rPr>
      <w:rFonts w:ascii="Helvetica;Arial" w:hAnsi="Helvetica;Arial" w:eastAsia="Times New Roman" w:cs="Helvetica;Arial"/>
      <w:b/>
      <w:color w:val="auto"/>
      <w:sz w:val="19"/>
      <w:szCs w:val="20"/>
      <w:lang w:val="en-US" w:eastAsia="zh-CN" w:bidi="hi-IN"/>
    </w:rPr>
  </w:style>
  <w:style w:type="paragraph" w:styleId="HeaderBase">
    <w:name w:val="Header Base"/>
    <w:basedOn w:val="Normal"/>
    <w:qFormat/>
    <w:pPr>
      <w:keepLines/>
      <w:tabs>
        <w:tab w:val="clear" w:pos="720"/>
        <w:tab w:val="left" w:pos="432" w:leader="none"/>
        <w:tab w:val="center" w:pos="4320" w:leader="none"/>
        <w:tab w:val="right" w:pos="8640" w:leader="none"/>
      </w:tabs>
      <w:jc w:val="both"/>
    </w:pPr>
    <w:rPr>
      <w:rFonts w:ascii="Helvetica;Arial" w:hAnsi="Helvetica;Arial" w:cs="Helvetica;Arial"/>
      <w:sz w:val="22"/>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HeaderBase"/>
    <w:pPr/>
    <w:rPr/>
  </w:style>
  <w:style w:type="paragraph" w:styleId="Header">
    <w:name w:val="header"/>
    <w:basedOn w:val="HeaderBase"/>
    <w:pPr/>
    <w:rPr/>
  </w:style>
  <w:style w:type="paragraph" w:styleId="Closed">
    <w:name w:val="Closed"/>
    <w:basedOn w:val="Normal"/>
    <w:qFormat/>
    <w:pPr/>
    <w:rPr/>
  </w:style>
  <w:style w:type="paragraph" w:styleId="CompanyName">
    <w:name w:val="CompanyName"/>
    <w:basedOn w:val="Header"/>
    <w:qFormat/>
    <w:pPr>
      <w:keepLines w:val="false"/>
      <w:tabs>
        <w:tab w:val="clear" w:pos="432"/>
        <w:tab w:val="center" w:pos="4320" w:leader="none"/>
        <w:tab w:val="right" w:pos="8640" w:leader="none"/>
      </w:tabs>
      <w:jc w:val="start"/>
    </w:pPr>
    <w:rPr>
      <w:rFonts w:ascii="Arial" w:hAnsi="Arial" w:cs="Arial"/>
      <w:b/>
      <w:i/>
      <w:sz w:val="20"/>
    </w:rPr>
  </w:style>
  <w:style w:type="paragraph" w:styleId="SubmittedTo">
    <w:name w:val="SubmittedTo"/>
    <w:basedOn w:val="Header"/>
    <w:qFormat/>
    <w:pPr>
      <w:keepLines w:val="false"/>
      <w:tabs>
        <w:tab w:val="clear" w:pos="432"/>
        <w:tab w:val="center" w:pos="4320" w:leader="none"/>
        <w:tab w:val="right" w:pos="8640" w:leader="none"/>
      </w:tabs>
      <w:jc w:val="start"/>
    </w:pPr>
    <w:rPr>
      <w:rFonts w:ascii="Arial" w:hAnsi="Arial" w:cs="Arial"/>
      <w:sz w:val="20"/>
    </w:rPr>
  </w:style>
  <w:style w:type="paragraph" w:styleId="SubmittedBy">
    <w:name w:val="SubmittedBy"/>
    <w:basedOn w:val="Header"/>
    <w:qFormat/>
    <w:pPr>
      <w:keepLines w:val="false"/>
      <w:tabs>
        <w:tab w:val="clear" w:pos="432"/>
        <w:tab w:val="center" w:pos="4320" w:leader="none"/>
        <w:tab w:val="right" w:pos="8640" w:leader="none"/>
      </w:tabs>
      <w:jc w:val="start"/>
    </w:pPr>
    <w:rPr>
      <w:rFonts w:ascii="Arial" w:hAnsi="Arial" w:cs="Arial"/>
      <w:sz w:val="20"/>
    </w:rPr>
  </w:style>
  <w:style w:type="paragraph" w:styleId="qheading0">
    <w:name w:val="q heading0"/>
    <w:basedOn w:val="Normal"/>
    <w:qFormat/>
    <w:pPr>
      <w:pBdr>
        <w:bottom w:val="single" w:sz="6" w:space="1" w:color="000000"/>
      </w:pBdr>
      <w:shd w:fill="000000" w:val="clear"/>
      <w:spacing w:before="0" w:after="240"/>
      <w:jc w:val="center"/>
    </w:pPr>
    <w:rPr>
      <w:rFonts w:ascii="Helvetica;Arial" w:hAnsi="Helvetica;Arial" w:cs="Helvetica;Arial"/>
      <w:b/>
      <w:sz w:val="28"/>
    </w:rPr>
  </w:style>
  <w:style w:type="paragraph" w:styleId="QTEXT">
    <w:name w:val="Q TEXT"/>
    <w:basedOn w:val="Normal"/>
    <w:qFormat/>
    <w:pPr>
      <w:spacing w:lineRule="auto" w:line="228" w:before="20" w:after="20"/>
      <w:jc w:val="both"/>
    </w:pPr>
    <w:rPr>
      <w:rFonts w:ascii="Palatino" w:hAnsi="Palatino" w:cs="Palatino"/>
      <w:spacing w:val="-5"/>
      <w:sz w:val="20"/>
    </w:rPr>
  </w:style>
  <w:style w:type="paragraph" w:styleId="QPARAW0PRESPACE">
    <w:name w:val="Q PARA W/0 PRESPACE"/>
    <w:basedOn w:val="QTEXT"/>
    <w:qFormat/>
    <w:pPr>
      <w:spacing w:before="0" w:after="20"/>
    </w:pPr>
    <w:rPr/>
  </w:style>
  <w:style w:type="paragraph" w:styleId="QBULLET">
    <w:name w:val="Q BULLET"/>
    <w:basedOn w:val="QTEXT"/>
    <w:qFormat/>
    <w:pPr>
      <w:numPr>
        <w:ilvl w:val="0"/>
        <w:numId w:val="15"/>
      </w:numPr>
      <w:ind w:hanging="360" w:start="360" w:end="360"/>
      <w:jc w:val="start"/>
    </w:pPr>
    <w:rPr/>
  </w:style>
  <w:style w:type="paragraph" w:styleId="Qauthor">
    <w:name w:val="Q author"/>
    <w:basedOn w:val="Normal"/>
    <w:qFormat/>
    <w:pPr>
      <w:spacing w:before="0" w:after="300"/>
      <w:jc w:val="center"/>
    </w:pPr>
    <w:rPr>
      <w:rFonts w:ascii="Palatino" w:hAnsi="Palatino" w:cs="Palatino"/>
    </w:rPr>
  </w:style>
  <w:style w:type="paragraph" w:styleId="QHEAD">
    <w:name w:val="Q HEAD"/>
    <w:basedOn w:val="qheading0"/>
    <w:qFormat/>
    <w:pPr>
      <w:pBdr>
        <w:bottom w:val="single" w:sz="6" w:space="0" w:color="000000"/>
      </w:pBdr>
    </w:pPr>
    <w:rPr>
      <w:sz w:val="24"/>
    </w:rPr>
  </w:style>
  <w:style w:type="paragraph" w:styleId="QSMALLHEAD">
    <w:name w:val="Q SMALL HEAD"/>
    <w:basedOn w:val="Normal"/>
    <w:qFormat/>
    <w:pPr>
      <w:pBdr>
        <w:top w:val="double" w:sz="12" w:space="0" w:color="000000"/>
        <w:bottom w:val="double" w:sz="12" w:space="0" w:color="000000"/>
      </w:pBdr>
      <w:shd w:fill="000000" w:val="clear"/>
      <w:spacing w:before="240" w:after="160"/>
      <w:jc w:val="center"/>
    </w:pPr>
    <w:rPr>
      <w:rFonts w:ascii="Arial" w:hAnsi="Arial" w:cs="Arial"/>
      <w:b/>
      <w:i/>
    </w:rPr>
  </w:style>
  <w:style w:type="paragraph" w:styleId="QBULLETLAST">
    <w:name w:val="Q BULLET LAST"/>
    <w:basedOn w:val="QBULLET"/>
    <w:qFormat/>
    <w:pPr>
      <w:spacing w:before="20" w:after="240"/>
    </w:pPr>
    <w:rPr/>
  </w:style>
  <w:style w:type="paragraph" w:styleId="frametitle">
    <w:name w:val="frametitle"/>
    <w:next w:val="Normal"/>
    <w:qFormat/>
    <w:pPr>
      <w:keepNext w:val="true"/>
      <w:widowControl/>
      <w:bidi w:val="0"/>
      <w:spacing w:lineRule="exact" w:line="240"/>
    </w:pPr>
    <w:rPr>
      <w:rFonts w:ascii="Helvetica;Arial" w:hAnsi="Helvetica;Arial" w:eastAsia="Times New Roman" w:cs="Helvetica;Arial"/>
      <w:b/>
      <w:color w:val="FF0000"/>
      <w:sz w:val="20"/>
      <w:szCs w:val="20"/>
      <w:lang w:val="en-US" w:eastAsia="zh-CN" w:bidi="hi-IN"/>
    </w:rPr>
  </w:style>
  <w:style w:type="paragraph" w:styleId="TABLE">
    <w:name w:val="TABLE"/>
    <w:basedOn w:val="Normal"/>
    <w:qFormat/>
    <w:pPr>
      <w:keepNext w:val="true"/>
      <w:keepLines/>
    </w:pPr>
    <w:rPr>
      <w:rFonts w:ascii="Helvetica;Arial" w:hAnsi="Helvetica;Arial" w:cs="Helvetica;Arial"/>
      <w:spacing w:val="-5"/>
    </w:rPr>
  </w:style>
  <w:style w:type="paragraph" w:styleId="subpara">
    <w:name w:val="subpara"/>
    <w:qFormat/>
    <w:pPr>
      <w:widowControl/>
      <w:numPr>
        <w:ilvl w:val="0"/>
        <w:numId w:val="13"/>
      </w:numPr>
      <w:tabs>
        <w:tab w:val="clear" w:pos="720"/>
        <w:tab w:val="left" w:pos="288" w:leader="none"/>
      </w:tabs>
      <w:bidi w:val="0"/>
      <w:spacing w:lineRule="exact" w:line="240" w:before="0" w:after="101"/>
    </w:pPr>
    <w:rPr>
      <w:rFonts w:ascii="Times New Roman" w:hAnsi="Times New Roman" w:eastAsia="Times New Roman" w:cs="Times New Roman"/>
      <w:color w:val="008000"/>
      <w:spacing w:val="-5"/>
      <w:sz w:val="20"/>
      <w:szCs w:val="20"/>
      <w:lang w:val="en-US" w:eastAsia="zh-CN" w:bidi="hi-IN"/>
    </w:rPr>
  </w:style>
  <w:style w:type="paragraph" w:styleId="FootnoteText">
    <w:name w:val="footnote text"/>
    <w:basedOn w:val="Normal"/>
    <w:pPr/>
    <w:rPr>
      <w:sz w:val="20"/>
    </w:rPr>
  </w:style>
  <w:style w:type="paragraph" w:styleId="Heading0">
    <w:name w:val="Heading 0"/>
    <w:basedOn w:val="Heading1"/>
    <w:qFormat/>
    <w:pPr>
      <w:numPr>
        <w:ilvl w:val="0"/>
        <w:numId w:val="0"/>
      </w:numPr>
      <w:spacing w:before="0" w:after="120"/>
      <w:outlineLvl w:val="9"/>
    </w:pPr>
    <w:rPr/>
  </w:style>
  <w:style w:type="paragraph" w:styleId="QIMAGEMAP">
    <w:name w:val="Q IMAGE MAP"/>
    <w:basedOn w:val="QTEXT"/>
    <w:qFormat/>
    <w:pPr>
      <w:spacing w:lineRule="auto" w:line="240" w:before="80" w:after="20"/>
      <w:jc w:val="center"/>
    </w:pPr>
    <w:rPr>
      <w:b/>
      <w:sz w:val="24"/>
    </w:rPr>
  </w:style>
  <w:style w:type="paragraph" w:styleId="QHEADING">
    <w:name w:val="Q HEADING"/>
    <w:basedOn w:val="Heading2"/>
    <w:qFormat/>
    <w:pPr>
      <w:keepNext w:val="false"/>
      <w:keepLines w:val="false"/>
      <w:numPr>
        <w:ilvl w:val="0"/>
        <w:numId w:val="0"/>
      </w:numPr>
      <w:pBdr>
        <w:bottom w:val="single" w:sz="6" w:space="1" w:color="000000"/>
      </w:pBdr>
      <w:shd w:fill="000000" w:val="clear"/>
      <w:suppressAutoHyphens w:val="false"/>
      <w:spacing w:before="360" w:after="120"/>
      <w:jc w:val="center"/>
      <w:outlineLvl w:val="9"/>
    </w:pPr>
    <w:rPr>
      <w:color w:val="auto"/>
      <w:sz w:val="28"/>
      <w:lang w:val="en-US"/>
    </w:rPr>
  </w:style>
  <w:style w:type="paragraph" w:styleId="qtexthead">
    <w:name w:val="q texthead"/>
    <w:basedOn w:val="QTEXT"/>
    <w:qFormat/>
    <w:pPr>
      <w:spacing w:lineRule="auto" w:line="240" w:before="120" w:after="20"/>
      <w:jc w:val="start"/>
    </w:pPr>
    <w:rPr>
      <w:rFonts w:ascii="Palatino" w:hAnsi="Palatino" w:cs="Palatino"/>
      <w:sz w:val="20"/>
    </w:rPr>
  </w:style>
  <w:style w:type="paragraph" w:styleId="QIMAGEHEADING">
    <w:name w:val="Q IMAGE HEADING"/>
    <w:basedOn w:val="QTEXT"/>
    <w:qFormat/>
    <w:pPr>
      <w:spacing w:lineRule="auto" w:line="240" w:before="240" w:after="240"/>
      <w:jc w:val="start"/>
    </w:pPr>
    <w:rPr>
      <w:b/>
      <w:sz w:val="24"/>
    </w:rPr>
  </w:style>
  <w:style w:type="paragraph" w:styleId="xsstitle">
    <w:name w:val="xss_title"/>
    <w:next w:val="Normal"/>
    <w:qFormat/>
    <w:pPr>
      <w:widowControl/>
      <w:suppressAutoHyphens w:val="true"/>
      <w:bidi w:val="0"/>
      <w:spacing w:before="0" w:after="72"/>
      <w:jc w:val="end"/>
    </w:pPr>
    <w:rPr>
      <w:rFonts w:ascii="Helvetica;Arial" w:hAnsi="Helvetica;Arial" w:eastAsia="Times New Roman" w:cs="Helvetica;Arial"/>
      <w:b/>
      <w:color w:val="0000FF"/>
      <w:sz w:val="48"/>
      <w:szCs w:val="20"/>
      <w:lang w:val="en-US" w:eastAsia="zh-CN" w:bidi="hi-IN"/>
    </w:rPr>
  </w:style>
  <w:style w:type="paragraph" w:styleId="xsssubtitle">
    <w:name w:val="xss_subtitle"/>
    <w:qFormat/>
    <w:pPr>
      <w:widowControl/>
      <w:bidi w:val="0"/>
      <w:spacing w:before="0" w:after="520"/>
      <w:jc w:val="end"/>
    </w:pPr>
    <w:rPr>
      <w:rFonts w:ascii="Helvetica;Arial" w:hAnsi="Helvetica;Arial" w:eastAsia="Times New Roman" w:cs="Helvetica;Arial"/>
      <w:i/>
      <w:color w:val="FF0000"/>
      <w:spacing w:val="30"/>
      <w:sz w:val="24"/>
      <w:szCs w:val="20"/>
      <w:lang w:val="en-CA" w:eastAsia="zh-CN" w:bidi="hi-IN"/>
    </w:rPr>
  </w:style>
  <w:style w:type="paragraph" w:styleId="boldline">
    <w:name w:val="bold line"/>
    <w:basedOn w:val="Normal"/>
    <w:qFormat/>
    <w:pPr>
      <w:tabs>
        <w:tab w:val="clear" w:pos="720"/>
        <w:tab w:val="left" w:pos="8640" w:leader="none"/>
      </w:tabs>
      <w:spacing w:lineRule="atLeast" w:line="240" w:before="0" w:after="360"/>
      <w:jc w:val="both"/>
    </w:pPr>
    <w:rPr>
      <w:rFonts w:ascii="Helvetica;Arial" w:hAnsi="Helvetica;Arial" w:cs="Helvetica;Arial"/>
      <w:b/>
      <w:sz w:val="20"/>
      <w:u w:val="double"/>
    </w:rPr>
  </w:style>
  <w:style w:type="paragraph" w:styleId="xsscopyright">
    <w:name w:val="xss_copyright"/>
    <w:qFormat/>
    <w:pPr>
      <w:widowControl/>
      <w:bidi w:val="0"/>
    </w:pPr>
    <w:rPr>
      <w:rFonts w:ascii="Helvetica;Arial" w:hAnsi="Helvetica;Arial" w:eastAsia="Times New Roman" w:cs="Helvetica;Arial"/>
      <w:color w:val="auto"/>
      <w:sz w:val="12"/>
      <w:szCs w:val="20"/>
      <w:lang w:val="en-US" w:eastAsia="zh-CN" w:bidi="hi-IN"/>
    </w:rPr>
  </w:style>
  <w:style w:type="paragraph" w:styleId="table1">
    <w:name w:val="table1"/>
    <w:next w:val="Normal"/>
    <w:qFormat/>
    <w:pPr>
      <w:widowControl/>
      <w:bidi w:val="0"/>
      <w:spacing w:lineRule="exact" w:line="260"/>
    </w:pPr>
    <w:rPr>
      <w:rFonts w:ascii="Helvetica;Arial" w:hAnsi="Helvetica;Arial" w:eastAsia="Times New Roman" w:cs="Helvetica;Arial"/>
      <w:color w:val="auto"/>
      <w:spacing w:val="-5"/>
      <w:sz w:val="20"/>
      <w:szCs w:val="20"/>
      <w:lang w:val="en-US" w:eastAsia="zh-CN" w:bidi="hi-IN"/>
    </w:rPr>
  </w:style>
  <w:style w:type="paragraph" w:styleId="BodyText2">
    <w:name w:val="Body Text 2"/>
    <w:basedOn w:val="Normal"/>
    <w:qFormat/>
    <w:pPr>
      <w:spacing w:lineRule="auto" w:line="288"/>
      <w:jc w:val="center"/>
    </w:pPr>
    <w:rPr>
      <w:sz w:val="24"/>
    </w:rPr>
  </w:style>
  <w:style w:type="paragraph" w:styleId="mmfigure">
    <w:name w:val="mm_figure"/>
    <w:next w:val="Normal"/>
    <w:qFormat/>
    <w:pPr>
      <w:widowControl/>
      <w:suppressAutoHyphens w:val="true"/>
      <w:bidi w:val="0"/>
      <w:spacing w:before="0" w:after="144"/>
    </w:pPr>
    <w:rPr>
      <w:rFonts w:ascii="Helvetica;Arial" w:hAnsi="Helvetica;Arial" w:eastAsia="Times New Roman" w:cs="Helvetica;Arial"/>
      <w:color w:val="auto"/>
      <w:sz w:val="20"/>
      <w:szCs w:val="20"/>
      <w:lang w:val="en-US" w:eastAsia="zh-CN" w:bidi="hi-IN"/>
    </w:rPr>
  </w:style>
  <w:style w:type="paragraph" w:styleId="BlockText">
    <w:name w:val="Block Text"/>
    <w:basedOn w:val="Normal"/>
    <w:qFormat/>
    <w:pPr>
      <w:spacing w:before="0" w:after="120"/>
      <w:ind w:hanging="0" w:start="1440" w:end="1440"/>
    </w:pPr>
    <w:rPr/>
  </w:style>
  <w:style w:type="paragraph" w:styleId="BodyText3">
    <w:name w:val="Body Text 3"/>
    <w:basedOn w:val="Normal"/>
    <w:qFormat/>
    <w:pPr>
      <w:spacing w:before="0" w:after="120"/>
    </w:pPr>
    <w:rPr>
      <w:sz w:val="16"/>
    </w:rPr>
  </w:style>
  <w:style w:type="paragraph" w:styleId="BodyTextFirstIndent">
    <w:name w:val="Body Text First Indent"/>
    <w:basedOn w:val="BodyText"/>
    <w:qFormat/>
    <w:pPr>
      <w:tabs>
        <w:tab w:val="clear" w:pos="432"/>
      </w:tabs>
      <w:ind w:firstLine="210" w:start="0" w:end="0"/>
      <w:jc w:val="start"/>
    </w:pPr>
    <w:rPr/>
  </w:style>
  <w:style w:type="paragraph" w:styleId="BodyTextIndent">
    <w:name w:val="Body Text Indent"/>
    <w:basedOn w:val="Normal"/>
    <w:pPr>
      <w:spacing w:before="0" w:after="120"/>
      <w:ind w:hanging="0" w:start="360" w:end="0"/>
    </w:pPr>
    <w:rPr/>
  </w:style>
  <w:style w:type="paragraph" w:styleId="BodyTextFirstIndent2">
    <w:name w:val="Body Text First Indent 2"/>
    <w:basedOn w:val="BodyTextIndent"/>
    <w:qFormat/>
    <w:pPr>
      <w:ind w:firstLine="210" w:start="360" w:end="0"/>
    </w:pPr>
    <w:rPr/>
  </w:style>
  <w:style w:type="paragraph" w:styleId="BodyTextIndent2">
    <w:name w:val="Body Text Indent 2"/>
    <w:basedOn w:val="Normal"/>
    <w:qFormat/>
    <w:pPr>
      <w:spacing w:lineRule="auto" w:line="480" w:before="0" w:after="120"/>
      <w:ind w:hanging="0" w:start="360" w:end="0"/>
    </w:pPr>
    <w:rPr/>
  </w:style>
  <w:style w:type="paragraph" w:styleId="BodyTextIndent3">
    <w:name w:val="Body Text Indent 3"/>
    <w:basedOn w:val="Normal"/>
    <w:qFormat/>
    <w:pPr>
      <w:spacing w:before="0" w:after="120"/>
      <w:ind w:hanging="0" w:start="360" w:end="0"/>
    </w:pPr>
    <w:rPr>
      <w:sz w:val="16"/>
    </w:rPr>
  </w:style>
  <w:style w:type="paragraph" w:styleId="Closing">
    <w:name w:val="Closing"/>
    <w:basedOn w:val="Normal"/>
    <w:qFormat/>
    <w:pPr>
      <w:ind w:hanging="0" w:start="4320" w:end="0"/>
    </w:pPr>
    <w:rPr/>
  </w:style>
  <w:style w:type="paragraph" w:styleId="CommentText">
    <w:name w:val="Comment Text"/>
    <w:basedOn w:val="Normal"/>
    <w:qFormat/>
    <w:pPr/>
    <w:rPr>
      <w:sz w:val="20"/>
    </w:rPr>
  </w:style>
  <w:style w:type="paragraph" w:styleId="Date">
    <w:name w:val="Date"/>
    <w:basedOn w:val="Normal"/>
    <w:next w:val="Normal"/>
    <w:qFormat/>
    <w:pPr/>
    <w:rPr/>
  </w:style>
  <w:style w:type="paragraph" w:styleId="DocumentMap">
    <w:name w:val="Document Map"/>
    <w:basedOn w:val="Normal"/>
    <w:qFormat/>
    <w:pPr>
      <w:shd w:fill="000080" w:val="clear"/>
    </w:pPr>
    <w:rPr>
      <w:rFonts w:ascii="Tahoma" w:hAnsi="Tahoma" w:cs="Tahoma"/>
    </w:rPr>
  </w:style>
  <w:style w:type="paragraph" w:styleId="EndnoteText">
    <w:name w:val="endnote text"/>
    <w:basedOn w:val="Normal"/>
    <w:pPr/>
    <w:rPr>
      <w:sz w:val="20"/>
    </w:rPr>
  </w:style>
  <w:style w:type="paragraph" w:styleId="EnvelopeAddress">
    <w:name w:val="envelope address"/>
    <w:basedOn w:val="Normal"/>
    <w:pPr>
      <w:ind w:hanging="0" w:start="2880" w:end="0"/>
    </w:pPr>
    <w:rPr>
      <w:rFonts w:ascii="Arial" w:hAnsi="Arial" w:cs="Arial"/>
      <w:sz w:val="24"/>
    </w:rPr>
  </w:style>
  <w:style w:type="paragraph" w:styleId="EnvelopeReturn">
    <w:name w:val="envelope return"/>
    <w:basedOn w:val="Normal"/>
    <w:pPr/>
    <w:rPr>
      <w:rFonts w:ascii="Arial" w:hAnsi="Arial" w:cs="Arial"/>
      <w:sz w:val="20"/>
    </w:rPr>
  </w:style>
  <w:style w:type="paragraph" w:styleId="Index1">
    <w:name w:val="index 1"/>
    <w:basedOn w:val="Normal"/>
    <w:next w:val="Normal"/>
    <w:pPr>
      <w:ind w:hanging="210" w:start="210" w:end="0"/>
    </w:pPr>
    <w:rPr>
      <w:sz w:val="4"/>
    </w:rPr>
  </w:style>
  <w:style w:type="paragraph" w:styleId="Index2">
    <w:name w:val="index 2"/>
    <w:basedOn w:val="Normal"/>
    <w:next w:val="Normal"/>
    <w:pPr>
      <w:ind w:hanging="210" w:start="420" w:end="0"/>
    </w:pPr>
    <w:rPr/>
  </w:style>
  <w:style w:type="paragraph" w:styleId="Index3">
    <w:name w:val="index 3"/>
    <w:basedOn w:val="Normal"/>
    <w:next w:val="Normal"/>
    <w:pPr>
      <w:ind w:hanging="210" w:start="630" w:end="0"/>
    </w:pPr>
    <w:rPr/>
  </w:style>
  <w:style w:type="paragraph" w:styleId="Index4">
    <w:name w:val="Index 4"/>
    <w:basedOn w:val="Normal"/>
    <w:next w:val="Normal"/>
    <w:qFormat/>
    <w:pPr>
      <w:ind w:hanging="210" w:start="840" w:end="0"/>
    </w:pPr>
    <w:rPr/>
  </w:style>
  <w:style w:type="paragraph" w:styleId="Index5">
    <w:name w:val="Index 5"/>
    <w:basedOn w:val="Normal"/>
    <w:next w:val="Normal"/>
    <w:qFormat/>
    <w:pPr>
      <w:ind w:hanging="210" w:start="1050" w:end="0"/>
    </w:pPr>
    <w:rPr/>
  </w:style>
  <w:style w:type="paragraph" w:styleId="Index6">
    <w:name w:val="Index 6"/>
    <w:basedOn w:val="Normal"/>
    <w:next w:val="Normal"/>
    <w:qFormat/>
    <w:pPr>
      <w:ind w:hanging="210" w:start="1260" w:end="0"/>
    </w:pPr>
    <w:rPr/>
  </w:style>
  <w:style w:type="paragraph" w:styleId="Index7">
    <w:name w:val="Index 7"/>
    <w:basedOn w:val="Normal"/>
    <w:next w:val="Normal"/>
    <w:qFormat/>
    <w:pPr>
      <w:ind w:hanging="210" w:start="1470" w:end="0"/>
    </w:pPr>
    <w:rPr/>
  </w:style>
  <w:style w:type="paragraph" w:styleId="Index8">
    <w:name w:val="Index 8"/>
    <w:basedOn w:val="Normal"/>
    <w:next w:val="Normal"/>
    <w:qFormat/>
    <w:pPr>
      <w:ind w:hanging="210" w:start="1680" w:end="0"/>
    </w:pPr>
    <w:rPr/>
  </w:style>
  <w:style w:type="paragraph" w:styleId="Index9">
    <w:name w:val="Index 9"/>
    <w:basedOn w:val="Normal"/>
    <w:next w:val="Normal"/>
    <w:qFormat/>
    <w:pPr>
      <w:ind w:hanging="210" w:start="1890" w:end="0"/>
    </w:pPr>
    <w:rPr/>
  </w:style>
  <w:style w:type="paragraph" w:styleId="IndexHeading">
    <w:name w:val="index heading"/>
    <w:basedOn w:val="Normal"/>
    <w:next w:val="Index1"/>
    <w:pPr/>
    <w:rPr>
      <w:rFonts w:ascii="Arial" w:hAnsi="Arial" w:cs="Arial"/>
      <w:b/>
    </w:rPr>
  </w:style>
  <w:style w:type="paragraph" w:styleId="ListBullet2">
    <w:name w:val="List Bullet 2"/>
    <w:basedOn w:val="Normal"/>
    <w:pPr>
      <w:ind w:hanging="360" w:start="720" w:end="0"/>
    </w:pPr>
    <w:rPr/>
  </w:style>
  <w:style w:type="paragraph" w:styleId="ListBullet3">
    <w:name w:val="List Bullet 3"/>
    <w:basedOn w:val="Normal"/>
    <w:pPr>
      <w:ind w:hanging="360" w:start="1080" w:end="0"/>
    </w:pPr>
    <w:rPr/>
  </w:style>
  <w:style w:type="paragraph" w:styleId="ListBullet4">
    <w:name w:val="List Bullet 4"/>
    <w:basedOn w:val="Normal"/>
    <w:pPr>
      <w:ind w:hanging="360" w:start="1440" w:end="0"/>
    </w:pPr>
    <w:rPr/>
  </w:style>
  <w:style w:type="paragraph" w:styleId="ListBullet5">
    <w:name w:val="List Bullet 5"/>
    <w:basedOn w:val="Normal"/>
    <w:pPr>
      <w:ind w:hanging="360" w:start="1800" w:end="0"/>
    </w:pPr>
    <w:rPr/>
  </w:style>
  <w:style w:type="paragraph" w:styleId="ListBullet">
    <w:name w:val="List Bullet"/>
    <w:basedOn w:val="Normal"/>
    <w:qFormat/>
    <w:pPr>
      <w:numPr>
        <w:ilvl w:val="0"/>
        <w:numId w:val="11"/>
      </w:numPr>
    </w:pPr>
    <w:rPr/>
  </w:style>
  <w:style w:type="paragraph" w:styleId="ListBullet21">
    <w:name w:val="List Bullet 21"/>
    <w:basedOn w:val="Normal"/>
    <w:qFormat/>
    <w:pPr>
      <w:numPr>
        <w:ilvl w:val="0"/>
        <w:numId w:val="9"/>
      </w:numPr>
    </w:pPr>
    <w:rPr/>
  </w:style>
  <w:style w:type="paragraph" w:styleId="ListBullet31">
    <w:name w:val="List Bullet 31"/>
    <w:basedOn w:val="Normal"/>
    <w:qFormat/>
    <w:pPr>
      <w:numPr>
        <w:ilvl w:val="0"/>
        <w:numId w:val="8"/>
      </w:numPr>
    </w:pPr>
    <w:rPr/>
  </w:style>
  <w:style w:type="paragraph" w:styleId="ListBullet41">
    <w:name w:val="List Bullet 41"/>
    <w:basedOn w:val="Normal"/>
    <w:qFormat/>
    <w:pPr>
      <w:numPr>
        <w:ilvl w:val="0"/>
        <w:numId w:val="7"/>
      </w:numPr>
    </w:pPr>
    <w:rPr/>
  </w:style>
  <w:style w:type="paragraph" w:styleId="ListBullet51">
    <w:name w:val="List Bullet 51"/>
    <w:basedOn w:val="Normal"/>
    <w:qFormat/>
    <w:pPr>
      <w:numPr>
        <w:ilvl w:val="0"/>
        <w:numId w:val="6"/>
      </w:numPr>
    </w:pPr>
    <w:rPr/>
  </w:style>
  <w:style w:type="paragraph" w:styleId="ListContinue">
    <w:name w:val="List Continue"/>
    <w:basedOn w:val="Normal"/>
    <w:qFormat/>
    <w:pPr>
      <w:spacing w:before="0" w:after="120"/>
      <w:ind w:hanging="0" w:start="360" w:end="0"/>
    </w:pPr>
    <w:rPr/>
  </w:style>
  <w:style w:type="paragraph" w:styleId="ListContinue2">
    <w:name w:val="List Continue 2"/>
    <w:basedOn w:val="Normal"/>
    <w:qFormat/>
    <w:pPr>
      <w:spacing w:before="0" w:after="120"/>
      <w:ind w:hanging="0" w:start="720" w:end="0"/>
    </w:pPr>
    <w:rPr/>
  </w:style>
  <w:style w:type="paragraph" w:styleId="ListContinue3">
    <w:name w:val="List Continue 3"/>
    <w:basedOn w:val="Normal"/>
    <w:qFormat/>
    <w:pPr>
      <w:spacing w:before="0" w:after="120"/>
      <w:ind w:hanging="0" w:start="1080" w:end="0"/>
    </w:pPr>
    <w:rPr/>
  </w:style>
  <w:style w:type="paragraph" w:styleId="ListContinue4">
    <w:name w:val="List Continue 4"/>
    <w:basedOn w:val="Normal"/>
    <w:qFormat/>
    <w:pPr>
      <w:spacing w:before="0" w:after="120"/>
      <w:ind w:hanging="0" w:start="1440" w:end="0"/>
    </w:pPr>
    <w:rPr/>
  </w:style>
  <w:style w:type="paragraph" w:styleId="ListContinue5">
    <w:name w:val="List Continue 5"/>
    <w:basedOn w:val="Normal"/>
    <w:qFormat/>
    <w:pPr>
      <w:spacing w:before="0" w:after="120"/>
      <w:ind w:hanging="0" w:start="1800" w:end="0"/>
    </w:pPr>
    <w:rPr/>
  </w:style>
  <w:style w:type="paragraph" w:styleId="ListNumber">
    <w:name w:val="List Number"/>
    <w:basedOn w:val="Normal"/>
    <w:qFormat/>
    <w:pPr>
      <w:numPr>
        <w:ilvl w:val="0"/>
        <w:numId w:val="10"/>
      </w:numPr>
    </w:pPr>
    <w:rPr/>
  </w:style>
  <w:style w:type="paragraph" w:styleId="ListNumber2">
    <w:name w:val="List Number 2"/>
    <w:basedOn w:val="Normal"/>
    <w:qFormat/>
    <w:pPr>
      <w:numPr>
        <w:ilvl w:val="0"/>
        <w:numId w:val="5"/>
      </w:numPr>
    </w:pPr>
    <w:rPr/>
  </w:style>
  <w:style w:type="paragraph" w:styleId="ListNumber3">
    <w:name w:val="List Number 3"/>
    <w:basedOn w:val="Normal"/>
    <w:qFormat/>
    <w:pPr>
      <w:numPr>
        <w:ilvl w:val="0"/>
        <w:numId w:val="4"/>
      </w:numPr>
    </w:pPr>
    <w:rPr/>
  </w:style>
  <w:style w:type="paragraph" w:styleId="ListNumber4">
    <w:name w:val="List Number 4"/>
    <w:basedOn w:val="Normal"/>
    <w:qFormat/>
    <w:pPr>
      <w:numPr>
        <w:ilvl w:val="0"/>
        <w:numId w:val="3"/>
      </w:numPr>
    </w:pPr>
    <w:rPr/>
  </w:style>
  <w:style w:type="paragraph" w:styleId="ListNumber5">
    <w:name w:val="List Number 5"/>
    <w:basedOn w:val="Normal"/>
    <w:qFormat/>
    <w:pPr>
      <w:numPr>
        <w:ilvl w:val="0"/>
        <w:numId w:val="2"/>
      </w:numPr>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Courier New" w:hAnsi="Courier New" w:eastAsia="Times New Roman" w:cs="Courier New"/>
      <w:color w:val="auto"/>
      <w:sz w:val="20"/>
      <w:szCs w:val="20"/>
      <w:lang w:val="en-US" w:eastAsia="zh-CN" w:bidi="hi-IN"/>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fill="CCCCCC" w:val="clear"/>
      <w:ind w:hanging="1080" w:start="1080" w:end="0"/>
    </w:pPr>
    <w:rPr>
      <w:rFonts w:ascii="Arial" w:hAnsi="Arial" w:cs="Arial"/>
      <w:sz w:val="24"/>
    </w:rPr>
  </w:style>
  <w:style w:type="paragraph" w:styleId="NormalIndent">
    <w:name w:val="Normal Indent"/>
    <w:basedOn w:val="Normal"/>
    <w:qFormat/>
    <w:pPr>
      <w:ind w:hanging="0" w:start="720" w:end="0"/>
    </w:pPr>
    <w:rPr/>
  </w:style>
  <w:style w:type="paragraph" w:styleId="NoteHeading">
    <w:name w:val="Note Heading"/>
    <w:basedOn w:val="Normal"/>
    <w:next w:val="Normal"/>
    <w:qFormat/>
    <w:pPr/>
    <w:rPr/>
  </w:style>
  <w:style w:type="paragraph" w:styleId="PlainText">
    <w:name w:val="Plain Text"/>
    <w:basedOn w:val="Normal"/>
    <w:qFormat/>
    <w:pPr/>
    <w:rPr>
      <w:rFonts w:ascii="Courier New" w:hAnsi="Courier New" w:cs="Courier New"/>
      <w:sz w:val="20"/>
    </w:rPr>
  </w:style>
  <w:style w:type="paragraph" w:styleId="Salutation">
    <w:name w:val="Salutation"/>
    <w:basedOn w:val="Normal"/>
    <w:next w:val="Normal"/>
    <w:qFormat/>
    <w:pPr/>
    <w:rPr/>
  </w:style>
  <w:style w:type="paragraph" w:styleId="Signature">
    <w:name w:val="Signature"/>
    <w:basedOn w:val="Normal"/>
    <w:pPr>
      <w:ind w:hanging="0" w:start="4320" w:end="0"/>
    </w:pPr>
    <w:rPr/>
  </w:style>
  <w:style w:type="paragraph" w:styleId="Subtitle">
    <w:name w:val="Subtitle"/>
    <w:basedOn w:val="Normal"/>
    <w:next w:val="BodyText"/>
    <w:qFormat/>
    <w:pPr>
      <w:spacing w:before="0" w:after="60"/>
      <w:jc w:val="center"/>
      <w:outlineLvl w:val="1"/>
    </w:pPr>
    <w:rPr>
      <w:rFonts w:ascii="Arial" w:hAnsi="Arial" w:cs="Arial"/>
      <w:sz w:val="24"/>
    </w:rPr>
  </w:style>
  <w:style w:type="paragraph" w:styleId="TableofAuthorities">
    <w:name w:val="Table of Authorities"/>
    <w:basedOn w:val="Normal"/>
    <w:next w:val="Normal"/>
    <w:qFormat/>
    <w:pPr>
      <w:ind w:hanging="210" w:start="210" w:end="0"/>
    </w:pPr>
    <w:rPr/>
  </w:style>
  <w:style w:type="paragraph" w:styleId="TableofFigures">
    <w:name w:val="Table of Figures"/>
    <w:basedOn w:val="Normal"/>
    <w:next w:val="Normal"/>
    <w:qFormat/>
    <w:pPr>
      <w:ind w:hanging="420" w:start="420" w:end="0"/>
    </w:pPr>
    <w:rPr/>
  </w:style>
  <w:style w:type="paragraph" w:styleId="TOAHeading">
    <w:name w:val="TOA Heading"/>
    <w:basedOn w:val="Normal"/>
    <w:next w:val="Normal"/>
    <w:qFormat/>
    <w:pPr>
      <w:spacing w:before="120" w:after="0"/>
    </w:pPr>
    <w:rPr>
      <w:rFonts w:ascii="Arial" w:hAnsi="Arial" w:cs="Arial"/>
      <w:b/>
      <w:sz w:val="24"/>
    </w:rPr>
  </w:style>
  <w:style w:type="paragraph" w:styleId="TOC1">
    <w:name w:val="toc 1"/>
    <w:basedOn w:val="Normal"/>
    <w:next w:val="Normal"/>
    <w:pPr/>
    <w:rPr/>
  </w:style>
  <w:style w:type="paragraph" w:styleId="TOC2">
    <w:name w:val="toc 2"/>
    <w:basedOn w:val="Normal"/>
    <w:next w:val="Normal"/>
    <w:pPr>
      <w:ind w:hanging="0" w:start="210" w:end="0"/>
    </w:pPr>
    <w:rPr/>
  </w:style>
  <w:style w:type="paragraph" w:styleId="TOC3">
    <w:name w:val="toc 3"/>
    <w:basedOn w:val="Normal"/>
    <w:next w:val="Normal"/>
    <w:pPr>
      <w:ind w:hanging="0" w:start="420" w:end="0"/>
    </w:pPr>
    <w:rPr/>
  </w:style>
  <w:style w:type="paragraph" w:styleId="TOC4">
    <w:name w:val="toc 4"/>
    <w:basedOn w:val="Normal"/>
    <w:next w:val="Normal"/>
    <w:pPr>
      <w:ind w:hanging="0" w:start="630" w:end="0"/>
    </w:pPr>
    <w:rPr/>
  </w:style>
  <w:style w:type="paragraph" w:styleId="TOC5">
    <w:name w:val="toc 5"/>
    <w:basedOn w:val="Normal"/>
    <w:next w:val="Normal"/>
    <w:pPr>
      <w:ind w:hanging="0" w:start="840" w:end="0"/>
    </w:pPr>
    <w:rPr/>
  </w:style>
  <w:style w:type="paragraph" w:styleId="TOC6">
    <w:name w:val="toc 6"/>
    <w:basedOn w:val="Normal"/>
    <w:next w:val="Normal"/>
    <w:pPr>
      <w:ind w:hanging="0" w:start="1050" w:end="0"/>
    </w:pPr>
    <w:rPr/>
  </w:style>
  <w:style w:type="paragraph" w:styleId="TOC7">
    <w:name w:val="toc 7"/>
    <w:basedOn w:val="Normal"/>
    <w:next w:val="Normal"/>
    <w:pPr>
      <w:ind w:hanging="0" w:start="1260" w:end="0"/>
    </w:pPr>
    <w:rPr/>
  </w:style>
  <w:style w:type="paragraph" w:styleId="TOC8">
    <w:name w:val="toc 8"/>
    <w:basedOn w:val="Normal"/>
    <w:next w:val="Normal"/>
    <w:pPr>
      <w:ind w:hanging="0" w:start="1470" w:end="0"/>
    </w:pPr>
    <w:rPr/>
  </w:style>
  <w:style w:type="paragraph" w:styleId="TOC9">
    <w:name w:val="toc 9"/>
    <w:basedOn w:val="Normal"/>
    <w:next w:val="Normal"/>
    <w:pPr>
      <w:ind w:hanging="0" w:start="1680" w:end="0"/>
    </w:pPr>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StyleNum">
    <w:name w:val="WW8StyleNum"/>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wmf"/><Relationship Id="rId4" Type="http://schemas.openxmlformats.org/officeDocument/2006/relationships/oleObject" Target="embeddings/oleObject2.bin"/><Relationship Id="rId5" Type="http://schemas.openxmlformats.org/officeDocument/2006/relationships/image" Target="media/image1.wmf"/><Relationship Id="rId6" Type="http://schemas.openxmlformats.org/officeDocument/2006/relationships/image" Target="media/image2.wmf"/><Relationship Id="rId7" Type="http://schemas.openxmlformats.org/officeDocument/2006/relationships/image" Target="media/image2.wmf"/><Relationship Id="rId8" Type="http://schemas.openxmlformats.org/officeDocument/2006/relationships/oleObject" Target="embeddings/oleObject3.bin"/><Relationship Id="rId9" Type="http://schemas.openxmlformats.org/officeDocument/2006/relationships/image" Target="media/image3.emf"/><Relationship Id="rId10" Type="http://schemas.openxmlformats.org/officeDocument/2006/relationships/oleObject" Target="embeddings/oleObject4.bin"/><Relationship Id="rId11" Type="http://schemas.openxmlformats.org/officeDocument/2006/relationships/image" Target="media/image4.emf"/><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numbering" Target="numbering.xml"/><Relationship Id="rId15" Type="http://schemas.openxmlformats.org/officeDocument/2006/relationships/fontTable" Target="fontTable.xml"/><Relationship Id="rId16" Type="http://schemas.openxmlformats.org/officeDocument/2006/relationships/settings" Target="settings.xml"/><Relationship Id="rId17" Type="http://schemas.openxmlformats.org/officeDocument/2006/relationships/theme" Target="theme/theme1.xml"/>
</Relationships>
</file>

<file path=word/_rels/footer1.xml.rels><?xml version="1.0" encoding="UTF-8"?>
<Relationships xmlns="http://schemas.openxmlformats.org/package/2006/relationships"><Relationship Id="rId1" Type="http://schemas.openxmlformats.org/officeDocument/2006/relationships/hyperlink" Target="mailto:mcnabb@wefa.com" TargetMode="External"/>
</Relationships>
</file>

<file path=word/_rels/footer2.xml.rels><?xml version="1.0" encoding="UTF-8"?>
<Relationships xmlns="http://schemas.openxmlformats.org/package/2006/relationships"><Relationship Id="rId1" Type="http://schemas.openxmlformats.org/officeDocument/2006/relationships/hyperlink" Target="mailto:mcnabb@wefa.com" TargetMode="Externa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2001-03-22T17:25:00Z</dcterms:created>
  <dc:creator>The WEFA GROUP</dc:creator>
  <dc:description/>
  <dc:language>en-CA</dc:language>
  <cp:lastModifiedBy>Systems Department</cp:lastModifiedBy>
  <cp:lastPrinted>2000-03-02T08:14:00Z</cp:lastPrinted>
  <dcterms:modified xsi:type="dcterms:W3CDTF">2001-03-22T17:25:00Z</dcterms:modified>
  <cp:revision>2</cp:revision>
  <dc:subject/>
  <dc:title>The Economic Cost of Limiting Carbon Emissions:</dc:title>
</cp:coreProperties>
</file>