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5pt;height:96.7pt" filled="f" o:ole="">
            <v:imagedata r:id="rId3" o:title=""/>
          </v:shape>
          <o:OLEObject Type="Embed" ProgID="" ShapeID="ole_rId2" DrawAspect="Content" ObjectID="_1179832438" r:id="rId2"/>
        </w:object>
      </w:r>
    </w:p>
    <w:p>
      <w:pPr>
        <w:pStyle w:val="Heading"/>
        <w:tabs>
          <w:tab w:val="clear" w:pos="720"/>
          <w:tab w:val="left" w:pos="6930" w:leader="none"/>
        </w:tabs>
        <w:spacing w:before="0" w:after="240"/>
        <w:ind w:hanging="6926" w:start="6926" w:end="0"/>
        <w:rPr/>
      </w:pPr>
      <w:r>
        <w:rPr>
          <w:rFonts w:cs="Times New Roman Bold" w:ascii="Times New Roman Bold" w:hAnsi="Times New Roman Bold"/>
          <w:caps/>
          <w:sz w:val="28"/>
        </w:rPr>
        <w:tab/>
      </w:r>
      <w:r>
        <w:rPr/>
        <w:t>InterOffice</w:t>
        <w:br/>
        <w:t>Memorandum</w:t>
      </w:r>
    </w:p>
    <w:tbl>
      <w:tblPr>
        <w:tblW w:w="9558" w:type="dxa"/>
        <w:jc w:val="start"/>
        <w:tblInd w:w="0" w:type="dxa"/>
        <w:tblLayout w:type="fixed"/>
        <w:tblCellMar>
          <w:top w:w="0" w:type="dxa"/>
          <w:start w:w="108" w:type="dxa"/>
          <w:bottom w:w="0" w:type="dxa"/>
          <w:end w:w="108" w:type="dxa"/>
        </w:tblCellMar>
      </w:tblPr>
      <w:tblGrid>
        <w:gridCol w:w="1188"/>
        <w:gridCol w:w="3240"/>
        <w:gridCol w:w="1350"/>
        <w:gridCol w:w="990"/>
        <w:gridCol w:w="2790"/>
      </w:tblGrid>
      <w:tr>
        <w:trPr/>
        <w:tc>
          <w:tcPr>
            <w:tcW w:w="1188" w:type="dxa"/>
            <w:tcBorders/>
          </w:tcPr>
          <w:p>
            <w:pPr>
              <w:pStyle w:val="Normal"/>
              <w:spacing w:before="120" w:after="120"/>
              <w:rPr>
                <w:b/>
              </w:rPr>
            </w:pPr>
            <w:r>
              <w:rPr>
                <w:b/>
              </w:rPr>
              <w:t>To:</w:t>
            </w:r>
          </w:p>
        </w:tc>
        <w:tc>
          <w:tcPr>
            <w:tcW w:w="8370" w:type="dxa"/>
            <w:gridSpan w:val="4"/>
            <w:tcBorders/>
          </w:tcPr>
          <w:p>
            <w:pPr>
              <w:pStyle w:val="To"/>
              <w:spacing w:before="120" w:after="120"/>
              <w:rPr/>
            </w:pPr>
            <w:bookmarkStart w:id="0" w:name="To"/>
            <w:bookmarkEnd w:id="0"/>
            <w:r>
              <w:rPr/>
              <w:t>All EBS Employees</w:t>
            </w:r>
          </w:p>
        </w:tc>
      </w:tr>
      <w:tr>
        <w:trPr/>
        <w:tc>
          <w:tcPr>
            <w:tcW w:w="1188" w:type="dxa"/>
            <w:tcBorders/>
          </w:tcPr>
          <w:p>
            <w:pPr>
              <w:pStyle w:val="Normal"/>
              <w:spacing w:before="120" w:after="120"/>
              <w:rPr>
                <w:b/>
              </w:rPr>
            </w:pPr>
            <w:r>
              <w:rPr>
                <w:b/>
              </w:rPr>
              <w:t>From:</w:t>
            </w:r>
          </w:p>
        </w:tc>
        <w:tc>
          <w:tcPr>
            <w:tcW w:w="3240" w:type="dxa"/>
            <w:tcBorders/>
          </w:tcPr>
          <w:p>
            <w:pPr>
              <w:pStyle w:val="Header"/>
              <w:tabs>
                <w:tab w:val="clear" w:pos="4320"/>
                <w:tab w:val="clear" w:pos="8640"/>
                <w:tab w:val="clear" w:pos="9000"/>
              </w:tabs>
              <w:spacing w:before="120" w:after="120"/>
              <w:rPr/>
            </w:pPr>
            <w:bookmarkStart w:id="1" w:name="From"/>
            <w:bookmarkEnd w:id="1"/>
            <w:r>
              <w:rPr/>
              <w:t>Rich DiMichele</w:t>
              <w:br/>
              <w:t>Jim Fallon</w:t>
              <w:br/>
              <w:t>Lance Schuler</w:t>
            </w:r>
          </w:p>
        </w:tc>
        <w:tc>
          <w:tcPr>
            <w:tcW w:w="2340" w:type="dxa"/>
            <w:gridSpan w:val="2"/>
            <w:tcBorders/>
          </w:tcPr>
          <w:p>
            <w:pPr>
              <w:pStyle w:val="Header"/>
              <w:tabs>
                <w:tab w:val="clear" w:pos="4320"/>
                <w:tab w:val="clear" w:pos="8640"/>
                <w:tab w:val="clear" w:pos="9000"/>
              </w:tabs>
              <w:spacing w:before="120" w:after="120"/>
              <w:jc w:val="end"/>
              <w:rPr>
                <w:b/>
                <w:bCs/>
              </w:rPr>
            </w:pPr>
            <w:r>
              <w:rPr>
                <w:b/>
                <w:bCs/>
              </w:rPr>
              <w:t>Department:</w:t>
            </w:r>
          </w:p>
        </w:tc>
        <w:tc>
          <w:tcPr>
            <w:tcW w:w="2790" w:type="dxa"/>
            <w:tcBorders/>
          </w:tcPr>
          <w:p>
            <w:pPr>
              <w:pStyle w:val="Header"/>
              <w:tabs>
                <w:tab w:val="clear" w:pos="4320"/>
                <w:tab w:val="clear" w:pos="8640"/>
                <w:tab w:val="clear" w:pos="9000"/>
              </w:tabs>
              <w:spacing w:before="120" w:after="120"/>
              <w:ind w:start="162" w:end="0"/>
              <w:rPr/>
            </w:pPr>
            <w:r>
              <w:rPr/>
              <w:t>Executive</w:t>
            </w:r>
          </w:p>
        </w:tc>
      </w:tr>
      <w:tr>
        <w:trPr/>
        <w:tc>
          <w:tcPr>
            <w:tcW w:w="1188" w:type="dxa"/>
            <w:tcBorders/>
          </w:tcPr>
          <w:p>
            <w:pPr>
              <w:pStyle w:val="Normal"/>
              <w:spacing w:before="120" w:after="120"/>
              <w:rPr>
                <w:b/>
              </w:rPr>
            </w:pPr>
            <w:r>
              <w:rPr>
                <w:b/>
              </w:rPr>
              <w:t>Subject:</w:t>
            </w:r>
          </w:p>
        </w:tc>
        <w:tc>
          <w:tcPr>
            <w:tcW w:w="4590" w:type="dxa"/>
            <w:gridSpan w:val="2"/>
            <w:tcBorders/>
          </w:tcPr>
          <w:p>
            <w:pPr>
              <w:pStyle w:val="Subject"/>
              <w:spacing w:before="120" w:after="120"/>
              <w:rPr/>
            </w:pPr>
            <w:bookmarkStart w:id="2" w:name="Subject"/>
            <w:bookmarkEnd w:id="2"/>
            <w:r>
              <w:rPr/>
              <w:t>Legal Review of Contracts and</w:t>
              <w:br/>
              <w:t>Selection and Retention of Counsel</w:t>
            </w:r>
          </w:p>
        </w:tc>
        <w:tc>
          <w:tcPr>
            <w:tcW w:w="990" w:type="dxa"/>
            <w:tcBorders/>
          </w:tcPr>
          <w:p>
            <w:pPr>
              <w:pStyle w:val="Subject"/>
              <w:spacing w:before="120" w:after="120"/>
              <w:jc w:val="end"/>
              <w:rPr>
                <w:b/>
              </w:rPr>
            </w:pPr>
            <w:r>
              <w:rPr>
                <w:b/>
              </w:rPr>
              <w:t>Date:</w:t>
            </w:r>
          </w:p>
        </w:tc>
        <w:tc>
          <w:tcPr>
            <w:tcW w:w="2790" w:type="dxa"/>
            <w:tcBorders/>
          </w:tcPr>
          <w:p>
            <w:pPr>
              <w:pStyle w:val="Header"/>
              <w:tabs>
                <w:tab w:val="clear" w:pos="4320"/>
                <w:tab w:val="clear" w:pos="8640"/>
                <w:tab w:val="clear" w:pos="9000"/>
              </w:tabs>
              <w:spacing w:before="120" w:after="120"/>
              <w:ind w:start="162" w:end="0"/>
              <w:rPr/>
            </w:pPr>
            <w:r>
              <w:rPr/>
              <w:t>October ___, 2001</w:t>
            </w:r>
          </w:p>
        </w:tc>
      </w:tr>
      <w:tr>
        <w:trPr/>
        <w:tc>
          <w:tcPr>
            <w:tcW w:w="1188" w:type="dxa"/>
            <w:tcBorders>
              <w:bottom w:val="single" w:sz="18" w:space="0" w:color="000000"/>
            </w:tcBorders>
          </w:tcPr>
          <w:p>
            <w:pPr>
              <w:pStyle w:val="Normal"/>
              <w:snapToGrid w:val="false"/>
              <w:spacing w:before="60" w:after="0"/>
              <w:rPr>
                <w:rFonts w:ascii="Arial" w:hAnsi="Arial" w:cs="Arial"/>
                <w:b/>
              </w:rPr>
            </w:pPr>
            <w:r>
              <w:rPr>
                <w:rFonts w:cs="Arial" w:ascii="Arial" w:hAnsi="Arial"/>
                <w:b/>
              </w:rPr>
            </w:r>
          </w:p>
        </w:tc>
        <w:tc>
          <w:tcPr>
            <w:tcW w:w="8370" w:type="dxa"/>
            <w:gridSpan w:val="4"/>
            <w:tcBorders>
              <w:bottom w:val="single" w:sz="18" w:space="0" w:color="000000"/>
            </w:tcBorders>
          </w:tcPr>
          <w:p>
            <w:pPr>
              <w:pStyle w:val="Normal"/>
              <w:snapToGrid w:val="false"/>
              <w:spacing w:before="60" w:after="0"/>
              <w:rPr>
                <w:b/>
              </w:rPr>
            </w:pPr>
            <w:r>
              <w:rPr>
                <w:b/>
              </w:rPr>
            </w:r>
          </w:p>
        </w:tc>
      </w:tr>
    </w:tbl>
    <w:p>
      <w:pPr>
        <w:pStyle w:val="FLI5"/>
        <w:spacing w:before="360" w:after="240"/>
        <w:rPr/>
      </w:pPr>
      <w:bookmarkStart w:id="3" w:name="StartOfMemo"/>
      <w:bookmarkEnd w:id="3"/>
      <w:r>
        <w:rPr/>
        <w:t>To help ensure the success of our endeavors, it is extremely important that we responsibly manage the risks attendant to our business by, among other things, complying with Enron’s established policies and controls.  As part of our ongoing compliance procedures, we thought it would be helpful to remind you of certain of these policies relating to the requisite legal review of contracts and the selection and retention of outside counsel.</w:t>
      </w:r>
    </w:p>
    <w:p>
      <w:pPr>
        <w:pStyle w:val="FLI5"/>
        <w:rPr/>
      </w:pPr>
      <w:r>
        <w:rPr/>
        <w:t xml:space="preserve">It is Enron’s policy that each </w:t>
      </w:r>
      <w:r>
        <w:rPr>
          <w:i/>
          <w:iCs/>
        </w:rPr>
        <w:t>“contract”</w:t>
      </w:r>
      <w:r>
        <w:rPr/>
        <w:t xml:space="preserve"> must be reviewed by one of our attorneys prior to its being submitted to the other party or parties to such </w:t>
      </w:r>
      <w:r>
        <w:rPr>
          <w:i/>
          <w:iCs/>
        </w:rPr>
        <w:t>“contract”</w:t>
      </w:r>
      <w:r>
        <w:rPr/>
        <w:t xml:space="preserve"> and that it must be initialed by one of our attorneys prior to its being signed.  By </w:t>
      </w:r>
      <w:r>
        <w:rPr>
          <w:i/>
          <w:iCs/>
        </w:rPr>
        <w:t>“contract”</w:t>
      </w:r>
      <w:r>
        <w:rPr/>
        <w:t xml:space="preserve"> we mean each contract, agreement, bid, term sheet, letter of intent, memorandum of understanding, amendment, modification, supplement, fax, telex and other document or arrangement that could reasonably be expected to impose an obligation on any Enron entity.  (Certain exceptions to this policy have been pre-approved by the legal department to conduct routine activities; for example, so long as no material changes are made to pre-approved forms of confirmations under existing master trading contracts, it is not necessary to seek legal review or initialing prior to their being signed.)  Please bear in mind that your conduct and/or your conversations may have, under certain circumstances, the unintended effect of creating an enforceable obligation; please consult with the legal department with respect to any questions you may have in this regard.</w:t>
      </w:r>
    </w:p>
    <w:p>
      <w:pPr>
        <w:pStyle w:val="FLI5"/>
        <w:rPr/>
      </w:pPr>
      <w:r>
        <w:rPr/>
        <w:t>Additionally, it is Enron’s policy that the selection and retention of outside legal counsel be conducted exclusively by the legal department.  In the absence of this policy, it would not be possible for our legal department to discharge its obligation to manage properly our relationships with outside counsel.</w:t>
      </w:r>
    </w:p>
    <w:p>
      <w:pPr>
        <w:pStyle w:val="FLI5"/>
        <w:rPr/>
      </w:pPr>
      <w:r>
        <w:rPr/>
        <w:t>Please refer to Enron’s Code of Ethics booklet (a copy of which is furnished to each of you annually) for additional information relating to Enron’s policies and controls, and please keep this memorandum with your copy of the booklet.</w:t>
      </w:r>
    </w:p>
    <w:p>
      <w:pPr>
        <w:pStyle w:val="FLI5"/>
        <w:spacing w:before="0" w:after="240"/>
        <w:rPr/>
      </w:pPr>
      <w:r>
        <w:rPr/>
        <w:t>Thank you very much for your continued cooperation in these matters.</w:t>
      </w:r>
    </w:p>
    <w:sectPr>
      <w:headerReference w:type="default" r:id="rId4"/>
      <w:headerReference w:type="first" r:id="rId5"/>
      <w:footerReference w:type="default" r:id="rId6"/>
      <w:footerReference w:type="first" r:id="rId7"/>
      <w:type w:val="nextPage"/>
      <w:pgSz w:w="12240" w:h="15840"/>
      <w:pgMar w:left="1440" w:right="1440" w:gutter="0" w:header="432" w:top="72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sz w:val="14"/>
      </w:rPr>
    </w:pPr>
    <w:r>
      <w:rPr>
        <w:sz w:val="14"/>
      </w:rPr>
      <w:fldChar w:fldCharType="begin"/>
    </w:r>
    <w:r>
      <w:rPr>
        <w:sz w:val="14"/>
      </w:rPr>
      <w:instrText xml:space="preserve"> FILENAME \p </w:instrText>
    </w:r>
    <w:r>
      <w:rPr>
        <w:sz w:val="14"/>
      </w:rPr>
      <w:fldChar w:fldCharType="separate"/>
    </w:r>
    <w:r>
      <w:rPr>
        <w:sz w:val="14"/>
      </w:rPr>
      <w:t>/mnt/main-storage/datasets/enron-docs/doc/2001011.doc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lear" w:pos="9000"/>
        <w:tab w:val="center" w:pos="4320" w:leader="none"/>
      </w:tabs>
      <w:jc w:val="end"/>
      <w:rPr>
        <w:b/>
        <w:bCs/>
        <w:sz w:val="28"/>
      </w:rPr>
    </w:pPr>
    <w:r>
      <w:rPr>
        <w:b/>
        <w:bCs/>
        <w:sz w:val="28"/>
      </w:rPr>
      <w:t>DRAFT 10/9/01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180" w:after="0"/>
      <w:outlineLvl w:val="0"/>
    </w:pPr>
    <w:rPr>
      <w:b/>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before="0" w:after="0"/>
    </w:pPr>
    <w:rPr>
      <w:rFonts w:ascii="Arial" w:hAnsi="Arial" w:cs="Arial"/>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ooter">
    <w:name w:val="footer"/>
    <w:basedOn w:val="Normal"/>
    <w:pPr>
      <w:tabs>
        <w:tab w:val="clear" w:pos="720"/>
        <w:tab w:val="center" w:pos="4320" w:leader="none"/>
        <w:tab w:val="right" w:pos="8640" w:leader="none"/>
      </w:tabs>
    </w:pPr>
    <w:rPr/>
  </w:style>
  <w:style w:type="paragraph" w:styleId="FLI5">
    <w:name w:val="*FLI.5"/>
    <w:basedOn w:val="Normal"/>
    <w:qFormat/>
    <w:pPr>
      <w:suppressAutoHyphens w:val="true"/>
      <w:spacing w:before="0" w:after="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2001-10-09T18:34:00Z</dcterms:created>
  <dc:creator>Michael T Harrelson</dc:creator>
  <dc:description/>
  <dc:language>en-CA</dc:language>
  <cp:lastModifiedBy>shaldema</cp:lastModifiedBy>
  <cp:lastPrinted>2001-10-09T16:04:00Z</cp:lastPrinted>
  <dcterms:modified xsi:type="dcterms:W3CDTF">2001-10-09T18:34:00Z</dcterms:modified>
  <cp:revision>2</cp:revision>
  <dc:subject/>
  <dc:title> </dc:title>
</cp:coreProperties>
</file>