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jc w:val="center"/>
        <w:rPr/>
      </w:pPr>
      <w:r>
        <w:rPr/>
        <w:t>ET&amp;S Property Accounting</w:t>
      </w:r>
    </w:p>
    <w:p>
      <w:pPr>
        <w:pStyle w:val="Normal"/>
        <w:ind w:start="720" w:end="0"/>
        <w:jc w:val="center"/>
        <w:rPr/>
      </w:pPr>
      <w:r>
        <w:rPr/>
        <w:t>2000 Objectives</w:t>
      </w:r>
    </w:p>
    <w:p>
      <w:pPr>
        <w:pStyle w:val="Normal"/>
        <w:ind w:start="720" w:end="0"/>
        <w:jc w:val="center"/>
        <w:rPr/>
      </w:pPr>
      <w:r>
        <w:rPr/>
        <w:t>Mid Year Status</w:t>
      </w:r>
    </w:p>
    <w:p>
      <w:pPr>
        <w:pStyle w:val="Normal"/>
        <w:rPr/>
      </w:pPr>
      <w:r>
        <w:rPr/>
      </w:r>
    </w:p>
    <w:p>
      <w:pPr>
        <w:pStyle w:val="Normal"/>
        <w:numPr>
          <w:ilvl w:val="0"/>
          <w:numId w:val="1"/>
        </w:numPr>
        <w:rPr/>
      </w:pPr>
      <w:r>
        <w:rPr/>
        <w:t>Resolve all outstanding issues surrounding the composite depreciation solution for the SAP implementation.</w:t>
      </w:r>
    </w:p>
    <w:p>
      <w:pPr>
        <w:pStyle w:val="BodyTextIndent"/>
        <w:rPr/>
      </w:pPr>
      <w:r>
        <w:rPr/>
        <w:t xml:space="preserve">      </w:t>
      </w:r>
      <w:r>
        <w:rPr/>
        <w:t>Status: Worked with consultant Tom Michael to solve the composite depreciation gap in SAP.  The group asset solution posts depreciation to group assets.  Through reporting, the reserves are allocated to core depreciable assets based on our established methodology in order to derive net book values. Through FIT testing the program has produced expected results. Provided a dedicated resource, Rudy Elizondo, to the Apollo team to ensure our requirements would be met.</w:t>
      </w:r>
    </w:p>
    <w:p>
      <w:pPr>
        <w:pStyle w:val="Normal"/>
        <w:rPr/>
      </w:pPr>
      <w:r>
        <w:rPr/>
      </w:r>
    </w:p>
    <w:p>
      <w:pPr>
        <w:pStyle w:val="Normal"/>
        <w:numPr>
          <w:ilvl w:val="0"/>
          <w:numId w:val="1"/>
        </w:numPr>
        <w:rPr/>
      </w:pPr>
      <w:r>
        <w:rPr/>
        <w:t>Convert legacy Fixed Asset and Project Tracking data from the MSA system to the SAP system.</w:t>
      </w:r>
    </w:p>
    <w:p>
      <w:pPr>
        <w:pStyle w:val="BodyTextIndent2"/>
        <w:rPr/>
      </w:pPr>
      <w:r>
        <w:rPr/>
        <w:t>Status: Significant effort has been required in data cleanup primarily on the fixed assets.  Preliminary assets totaling on Transwestern $ 58MM and Northern Natural Gas $8MM were final unitized.  Balances for group reserves on general plant were spread to the individual assets. Costs for overhead, AFUDC and CIAC were mapped to the real assets for conversion purposes.  Offsetting debits and credits were retired. Invalid property units, function codes, and FERC accounts were corrected.  We also provided mapping recommendations for both project tracking and fixed assets.</w:t>
      </w:r>
    </w:p>
    <w:p>
      <w:pPr>
        <w:pStyle w:val="Normal"/>
        <w:rPr/>
      </w:pPr>
      <w:r>
        <w:rPr/>
      </w:r>
    </w:p>
    <w:p>
      <w:pPr>
        <w:pStyle w:val="Normal"/>
        <w:numPr>
          <w:ilvl w:val="0"/>
          <w:numId w:val="1"/>
        </w:numPr>
        <w:rPr/>
      </w:pPr>
      <w:r>
        <w:rPr/>
        <w:t xml:space="preserve">Transition GPG to a new work order process flow for the SAP system while maintaining security, controls and efficiency. </w:t>
      </w:r>
    </w:p>
    <w:p>
      <w:pPr>
        <w:pStyle w:val="BodyTextIndent3"/>
        <w:ind w:hanging="360" w:start="720" w:end="0"/>
        <w:rPr/>
      </w:pPr>
      <w:r>
        <w:rPr/>
        <w:t xml:space="preserve">      </w:t>
      </w:r>
      <w:r>
        <w:rPr/>
        <w:t>Status: Lead a cross functional GPG team in developing a new process flow in SAP for the creation of work orders.  Represented by all the stakeholders, the team defined the new process for creation of projects. A detailed mapping of the current state to future state of the process was developed for each business unit to be used as a reference document for users and auditors. A new project authorization form was also created.</w:t>
      </w:r>
    </w:p>
    <w:p>
      <w:pPr>
        <w:pStyle w:val="Normal"/>
        <w:ind w:start="360" w:end="0"/>
        <w:rPr/>
      </w:pPr>
      <w:r>
        <w:rPr/>
      </w:r>
    </w:p>
    <w:p>
      <w:pPr>
        <w:pStyle w:val="Normal"/>
        <w:numPr>
          <w:ilvl w:val="0"/>
          <w:numId w:val="1"/>
        </w:numPr>
        <w:rPr/>
      </w:pPr>
      <w:r>
        <w:rPr/>
        <w:t>Change the process for how as-built costs are charged to work orders.</w:t>
      </w:r>
    </w:p>
    <w:p>
      <w:pPr>
        <w:pStyle w:val="Normal"/>
        <w:ind w:hanging="720" w:start="720" w:end="0"/>
        <w:rPr/>
      </w:pPr>
      <w:r>
        <w:rPr/>
        <w:t xml:space="preserve">            </w:t>
      </w:r>
      <w:r>
        <w:rPr/>
        <w:t xml:space="preserve">Status: As-builts will now be billed to projects on an actual basis, which will eliminate the possibility of under billing our construction projects for these charges. A separate WBS element will be charged in SAP which will most likely occur after the project is technically complete.  </w:t>
      </w:r>
    </w:p>
    <w:p>
      <w:pPr>
        <w:pStyle w:val="Normal"/>
        <w:rPr/>
      </w:pPr>
      <w:r>
        <w:rPr/>
        <w:t xml:space="preserve"> </w:t>
      </w:r>
    </w:p>
    <w:p>
      <w:pPr>
        <w:pStyle w:val="Normal"/>
        <w:numPr>
          <w:ilvl w:val="0"/>
          <w:numId w:val="1"/>
        </w:numPr>
        <w:rPr/>
      </w:pPr>
      <w:r>
        <w:rPr/>
        <w:t>Participate in the Plant Held for Future Use effort by providing guidance on accounting issues, providing plant information, and processing the transactions after management’s approval.</w:t>
      </w:r>
    </w:p>
    <w:p>
      <w:pPr>
        <w:pStyle w:val="BodyTextIndent3"/>
        <w:ind w:start="720" w:end="0"/>
        <w:rPr/>
      </w:pPr>
      <w:r>
        <w:rPr/>
        <w:t>Status:  In the early stages, we guided the team on accounting issues surrounding PHFFU. We provided book cost from the plant ledgers for the team to review and make recommendations.  The team met its goal of $.7MM in cost savings in June.  We will be making the related accounting entries.</w:t>
      </w:r>
    </w:p>
    <w:p>
      <w:pPr>
        <w:pStyle w:val="Normal"/>
        <w:rPr/>
      </w:pPr>
      <w:r>
        <w:rPr/>
      </w:r>
    </w:p>
    <w:p>
      <w:pPr>
        <w:pStyle w:val="Normal"/>
        <w:numPr>
          <w:ilvl w:val="0"/>
          <w:numId w:val="1"/>
        </w:numPr>
        <w:rPr/>
      </w:pPr>
      <w:r>
        <w:rPr/>
        <w:t>Monitor overhead work order balance and make recommendations for rate changes.</w:t>
      </w:r>
    </w:p>
    <w:p>
      <w:pPr>
        <w:pStyle w:val="BodyTextIndent"/>
        <w:rPr/>
      </w:pPr>
      <w:r>
        <w:rPr/>
        <w:t xml:space="preserve">      </w:t>
      </w:r>
      <w:r>
        <w:rPr/>
        <w:t xml:space="preserve">Status: Provided analysis to management of the overhead work order charges which showed that corrective measures were still not in place by Operations and the Plan had little chance of succeeding.  We are working with Planning to analyze options and recommend a rate for remainder of year.   </w:t>
      </w:r>
    </w:p>
    <w:p>
      <w:pPr>
        <w:pStyle w:val="Normal"/>
        <w:ind w:hanging="360" w:start="720" w:end="0"/>
        <w:rPr/>
      </w:pPr>
      <w:r>
        <w:rPr/>
      </w:r>
    </w:p>
    <w:p>
      <w:pPr>
        <w:pStyle w:val="Normal"/>
        <w:rPr/>
      </w:pPr>
      <w:r>
        <w:rPr/>
      </w:r>
    </w:p>
    <w:p>
      <w:pPr>
        <w:pStyle w:val="Normal"/>
        <w:numPr>
          <w:ilvl w:val="0"/>
          <w:numId w:val="1"/>
        </w:numPr>
        <w:rPr/>
      </w:pPr>
      <w:r>
        <w:rPr/>
        <w:t>Maintain the reimbursable work order balance under $2.0MM.</w:t>
      </w:r>
    </w:p>
    <w:p>
      <w:pPr>
        <w:pStyle w:val="BodyTextIndent3"/>
        <w:ind w:start="720" w:end="0"/>
        <w:rPr/>
      </w:pPr>
      <w:r>
        <w:rPr/>
        <w:t xml:space="preserve">Status: The reimbursable work order balance has remained under $2.0MM throughout the year.  The ending balance at 5/31/00 was $1.0MM.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720" w:end="0"/>
    </w:pPr>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ind w:hanging="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2000-06-25T23:26:00Z</dcterms:created>
  <dc:creator>Gary  Zahn</dc:creator>
  <dc:description/>
  <dc:language>en-CA</dc:language>
  <cp:lastModifiedBy>ET&amp;S</cp:lastModifiedBy>
  <cp:lastPrinted>2000-06-26T20:11:00Z</cp:lastPrinted>
  <dcterms:modified xsi:type="dcterms:W3CDTF">2000-06-26T22:43:00Z</dcterms:modified>
  <cp:revision>12</cp:revision>
  <dc:subject/>
  <dc:title>ET&amp;S Property Accounting</dc:title>
</cp:coreProperties>
</file>