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0"/>
        </w:rPr>
      </w:pPr>
      <w:r>
        <w:rPr>
          <w:sz w:val="20"/>
        </w:rPr>
        <w:drawing>
          <wp:inline distT="0" distB="0" distL="0" distR="0">
            <wp:extent cx="984885" cy="98742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>
          <w:sz w:val="20"/>
        </w:rPr>
      </w:pPr>
      <w:r>
        <w:rPr>
          <w:sz w:val="20"/>
        </w:rPr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Ken Lay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6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Steve Kean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65" w:type="dxa"/>
            <w:tcBorders/>
          </w:tcPr>
          <w:p>
            <w:pPr>
              <w:pStyle w:val="Department"/>
              <w:snapToGrid w:val="false"/>
              <w:rPr>
                <w:sz w:val="16"/>
              </w:rPr>
            </w:pPr>
            <w:r>
              <w:rPr>
                <w:sz w:val="16"/>
              </w:rPr>
            </w:r>
            <w:bookmarkStart w:id="0" w:name="From"/>
            <w:bookmarkStart w:id="1" w:name="From"/>
            <w:bookmarkEnd w:id="1"/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9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WSJ Article on Mark to Market Accounting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t>September 19, 2000</w:t>
            </w:r>
          </w:p>
        </w:tc>
      </w:tr>
    </w:tbl>
    <w:p>
      <w:pPr>
        <w:pStyle w:val="Body"/>
        <w:jc w:val="both"/>
        <w:rPr/>
      </w:pPr>
      <w:r>
        <w:rPr/>
      </w:r>
      <w:bookmarkStart w:id="2" w:name="StartOfMemo"/>
      <w:bookmarkStart w:id="3" w:name="StartOfMemo"/>
      <w:bookmarkEnd w:id="3"/>
    </w:p>
    <w:p>
      <w:pPr>
        <w:pStyle w:val="Body"/>
        <w:jc w:val="both"/>
        <w:rPr/>
      </w:pPr>
      <w:r>
        <w:rPr/>
      </w:r>
    </w:p>
    <w:p>
      <w:pPr>
        <w:pStyle w:val="Body"/>
        <w:jc w:val="both"/>
        <w:rPr/>
      </w:pPr>
      <w:r>
        <w:rPr/>
        <w:tab/>
        <w:t>It is possible that the publication of the WSJ article on M-to-M accounting will coincide with your speech to the Governors tomorrow.  While we don’t know precisely what the article will say, I believe the points below should work if you get questions.</w:t>
      </w:r>
    </w:p>
    <w:p>
      <w:pPr>
        <w:pStyle w:val="Body"/>
        <w:jc w:val="both"/>
        <w:rPr/>
      </w:pPr>
      <w:r>
        <w:rPr/>
      </w:r>
    </w:p>
    <w:p>
      <w:pPr>
        <w:pStyle w:val="Body"/>
        <w:numPr>
          <w:ilvl w:val="0"/>
          <w:numId w:val="2"/>
        </w:numPr>
        <w:spacing w:before="0" w:after="120"/>
        <w:jc w:val="both"/>
        <w:rPr/>
      </w:pPr>
      <w:r>
        <w:rPr/>
        <w:t>Enron invests considerable resources to ensure that (1) we have adequate controls in place, (2) we disclose accurately and fully to investors and (3) we account accurately for our transactions.</w:t>
      </w:r>
    </w:p>
    <w:p>
      <w:pPr>
        <w:pStyle w:val="Body"/>
        <w:numPr>
          <w:ilvl w:val="1"/>
          <w:numId w:val="3"/>
        </w:numPr>
        <w:spacing w:before="0" w:after="120"/>
        <w:jc w:val="both"/>
        <w:rPr/>
      </w:pPr>
      <w:r>
        <w:rPr/>
        <w:t>We have the most experience in the industry with mark-to-market accounting and with the necessary controls on trading activity.</w:t>
      </w:r>
    </w:p>
    <w:p>
      <w:pPr>
        <w:pStyle w:val="Body"/>
        <w:numPr>
          <w:ilvl w:val="1"/>
          <w:numId w:val="3"/>
        </w:numPr>
        <w:spacing w:before="0" w:after="120"/>
        <w:jc w:val="both"/>
        <w:rPr/>
      </w:pPr>
      <w:r>
        <w:rPr/>
        <w:t>Position reports are generated every day.</w:t>
      </w:r>
    </w:p>
    <w:p>
      <w:pPr>
        <w:pStyle w:val="Body"/>
        <w:numPr>
          <w:ilvl w:val="1"/>
          <w:numId w:val="3"/>
        </w:numPr>
        <w:spacing w:before="0" w:after="120"/>
        <w:jc w:val="both"/>
        <w:rPr/>
      </w:pPr>
      <w:r>
        <w:rPr/>
        <w:t>Trading limits are approved, monitored and enforced.</w:t>
      </w:r>
    </w:p>
    <w:p>
      <w:pPr>
        <w:pStyle w:val="Body"/>
        <w:numPr>
          <w:ilvl w:val="0"/>
          <w:numId w:val="3"/>
        </w:numPr>
        <w:spacing w:before="0" w:after="120"/>
        <w:jc w:val="both"/>
        <w:rPr/>
      </w:pPr>
      <w:r>
        <w:rPr/>
        <w:t>Our measures are accurate and leave little, if any, room for discretion.</w:t>
      </w:r>
    </w:p>
    <w:p>
      <w:pPr>
        <w:pStyle w:val="Body"/>
        <w:numPr>
          <w:ilvl w:val="1"/>
          <w:numId w:val="3"/>
        </w:numPr>
        <w:spacing w:before="0" w:after="120"/>
        <w:jc w:val="both"/>
        <w:rPr/>
      </w:pPr>
      <w:r>
        <w:rPr/>
        <w:t>The vast majority of our transactions are priced against market price curves (</w:t>
      </w:r>
      <w:r>
        <w:rPr>
          <w:u w:val="single"/>
        </w:rPr>
        <w:t>i.e.</w:t>
      </w:r>
      <w:r>
        <w:rPr/>
        <w:t xml:space="preserve"> curves representing actual transactions </w:t>
      </w:r>
      <w:r>
        <w:rPr>
          <w:u w:val="single"/>
        </w:rPr>
        <w:t>not</w:t>
      </w:r>
      <w:r>
        <w:rPr/>
        <w:t xml:space="preserve"> projections).  Real market price curves do not leave room for discretion in how transactions are accounted for.  </w:t>
      </w:r>
    </w:p>
    <w:p>
      <w:pPr>
        <w:pStyle w:val="Body"/>
        <w:numPr>
          <w:ilvl w:val="1"/>
          <w:numId w:val="3"/>
        </w:numPr>
        <w:spacing w:before="0" w:after="120"/>
        <w:jc w:val="both"/>
        <w:rPr/>
      </w:pPr>
      <w:r>
        <w:rPr/>
        <w:t xml:space="preserve">The average term of our entire transaction book (as reported in our 1999 annual report) was two years, well within the time frame where gas and power markets - - our two biggest commodities - - are liquid.  [Note:  EnronOnline itself goes out two years for many products - - </w:t>
      </w:r>
      <w:r>
        <w:rPr>
          <w:u w:val="single"/>
        </w:rPr>
        <w:t>i.e.</w:t>
      </w:r>
      <w:r>
        <w:rPr/>
        <w:t xml:space="preserve"> our prices are posted and updated in real-time on the internet.] </w:t>
      </w:r>
      <w:r>
        <w:rPr>
          <w:rStyle w:val="FootnoteCharacters"/>
          <w:rStyle w:val="FootnoteReference"/>
        </w:rPr>
        <w:footnoteReference w:customMarkFollows="1" w:id="2"/>
        <w:t>*</w:t>
      </w:r>
    </w:p>
    <w:p>
      <w:pPr>
        <w:pStyle w:val="Body"/>
        <w:numPr>
          <w:ilvl w:val="1"/>
          <w:numId w:val="3"/>
        </w:numPr>
        <w:spacing w:before="0" w:after="120"/>
        <w:jc w:val="both"/>
        <w:rPr/>
      </w:pPr>
      <w:r>
        <w:rPr>
          <w:sz w:val="18"/>
        </w:rPr>
        <w:t>We audit our books; we check our curves against broker and other market participant prices.</w:t>
      </w:r>
    </w:p>
    <w:p>
      <w:pPr>
        <w:pStyle w:val="Body"/>
        <w:numPr>
          <w:ilvl w:val="0"/>
          <w:numId w:val="3"/>
        </w:numPr>
        <w:spacing w:before="0" w:after="120"/>
        <w:jc w:val="both"/>
        <w:rPr/>
      </w:pPr>
      <w:r>
        <w:rPr>
          <w:sz w:val="18"/>
        </w:rPr>
        <w:t>Our disclosure is thorough</w:t>
      </w:r>
    </w:p>
    <w:p>
      <w:pPr>
        <w:pStyle w:val="Body"/>
        <w:numPr>
          <w:ilvl w:val="1"/>
          <w:numId w:val="3"/>
        </w:numPr>
        <w:spacing w:before="0" w:after="120"/>
        <w:jc w:val="both"/>
        <w:rPr/>
      </w:pPr>
      <w:r>
        <w:rPr>
          <w:sz w:val="18"/>
        </w:rPr>
        <w:t>We disclose Value at Risk (VAR) to our investors.  VAR is a far more accurate representation of actual risk than projected impacts of curve shifts.</w:t>
      </w:r>
    </w:p>
    <w:p>
      <w:pPr>
        <w:pStyle w:val="Body"/>
        <w:numPr>
          <w:ilvl w:val="1"/>
          <w:numId w:val="3"/>
        </w:numPr>
        <w:spacing w:before="0" w:after="120"/>
        <w:jc w:val="both"/>
        <w:rPr/>
      </w:pPr>
      <w:r>
        <w:rPr>
          <w:sz w:val="18"/>
        </w:rPr>
        <w:t>We disclose credit risk separately, though not required to do so.</w:t>
      </w:r>
    </w:p>
    <w:p>
      <w:pPr>
        <w:pStyle w:val="Body"/>
        <w:numPr>
          <w:ilvl w:val="0"/>
          <w:numId w:val="3"/>
        </w:numPr>
        <w:spacing w:before="0" w:after="120"/>
        <w:jc w:val="both"/>
        <w:rPr/>
      </w:pPr>
      <w:r>
        <w:rPr/>
        <w:t xml:space="preserve">The article may address an Emerging Issues Task Force recommendation on accounting for “tolling agreements”.  The issue has a complex history and, because the example used in the recommendation was unrealistic, it led to some confusion.  The bottom line for Enron is:  we don’t have many such tolling arrangements and we understand precisely how to account for them. </w:t>
      </w:r>
    </w:p>
    <w:p>
      <w:pPr>
        <w:pStyle w:val="Body"/>
        <w:spacing w:before="0" w:after="120"/>
        <w:ind w:start="792" w:end="0"/>
        <w:jc w:val="both"/>
        <w:rPr/>
      </w:pPr>
      <w:r>
        <w:rPr/>
      </w:r>
    </w:p>
    <w:p>
      <w:pPr>
        <w:pStyle w:val="Body"/>
        <w:spacing w:before="0" w:after="120"/>
        <w:ind w:firstLine="630" w:start="90" w:end="0"/>
        <w:jc w:val="both"/>
        <w:rPr/>
      </w:pPr>
      <w:r>
        <w:rPr/>
        <w:t>Once you see the article, feel free to call me, Rick Causey, or Wes Colwell to respond to points the article makes which we have not anticipated here.</w:t>
      </w:r>
    </w:p>
    <w:sectPr>
      <w:headerReference w:type="default" r:id="rId3"/>
      <w:headerReference w:type="first" r:id="rId4"/>
      <w:footerReference w:type="default" r:id="rId5"/>
      <w:footerReference w:type="first" r:id="rId6"/>
      <w:footnotePr>
        <w:numFmt w:val="decimal"/>
      </w:footnotePr>
      <w:type w:val="nextPage"/>
      <w:pgSz w:w="12240" w:h="15840"/>
      <w:pgMar w:left="1152" w:right="1152" w:gutter="0" w:header="720" w:top="776" w:footer="576" w:bottom="63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EndnoteText"/>
        <w:rPr/>
      </w:pPr>
      <w:r>
        <w:rPr>
          <w:rStyle w:val="FootnoteCharacters"/>
        </w:rPr>
        <w:t>*</w:t>
      </w:r>
      <w:r>
        <w:rPr/>
        <w:t xml:space="preserve"> </w:t>
      </w:r>
      <w:r>
        <w:rPr/>
        <w:t xml:space="preserve">Note that the </w:t>
      </w:r>
      <w:r>
        <w:rPr>
          <w:u w:val="single"/>
        </w:rPr>
        <w:t>value</w:t>
      </w:r>
      <w:r>
        <w:rPr/>
        <w:t xml:space="preserve"> weighted average term of our book is about 5 years, still well within the time frame where there is significant liquidity </w:t>
      </w:r>
    </w:p>
    <w:p>
      <w:pPr>
        <w:pStyle w:val="FootnoteText"/>
        <w:rPr/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ing1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Heading1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ing1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4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939800"/>
              <wp:effectExtent l="0" t="0" r="0" b="0"/>
              <wp:wrapSquare wrapText="bothSides"/>
              <wp:docPr id="3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9398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ing1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Heading1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Heading1"/>
                            <w:rPr/>
                          </w:pPr>
                          <w:r>
                            <w:rPr/>
                            <w:t>Interoffice</w:t>
                          </w:r>
                          <w:r>
                            <w:rPr>
                              <w:b/>
                              <w:sz w:val="32"/>
                            </w:rPr>
                            <w:t>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74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Heading1"/>
                      <w:rPr/>
                    </w:pPr>
                    <w:r>
                      <w:rPr/>
                    </w:r>
                  </w:p>
                  <w:p>
                    <w:pPr>
                      <w:pStyle w:val="Heading1"/>
                      <w:rPr/>
                    </w:pPr>
                    <w:r>
                      <w:rPr/>
                    </w:r>
                  </w:p>
                  <w:p>
                    <w:pPr>
                      <w:pStyle w:val="Heading1"/>
                      <w:rPr/>
                    </w:pPr>
                    <w:r>
                      <w:rPr/>
                      <w:t>Interoffice</w:t>
                    </w:r>
                    <w:r>
                      <w:rPr>
                        <w:b/>
                        <w:sz w:val="32"/>
                      </w:rPr>
                      <w:t>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152"/>
        </w:tabs>
        <w:ind w:start="1152" w:hanging="720"/>
      </w:pPr>
      <w:rPr>
        <w:rFonts w:ascii="Symbol" w:hAnsi="Symbol" w:cs="Symbol" w:hint="default"/>
        <w:color w:val="00000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152"/>
        </w:tabs>
        <w:ind w:start="1152" w:hanging="72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"/>
      <w:lvlJc w:val="start"/>
      <w:pPr>
        <w:tabs>
          <w:tab w:val="num" w:pos="1512"/>
        </w:tabs>
        <w:ind w:start="1512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start"/>
      <w:pPr>
        <w:tabs>
          <w:tab w:val="num" w:pos="2232"/>
        </w:tabs>
        <w:ind w:start="223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952"/>
        </w:tabs>
        <w:ind w:start="295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72"/>
        </w:tabs>
        <w:ind w:start="3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92"/>
        </w:tabs>
        <w:ind w:start="439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112"/>
        </w:tabs>
        <w:ind w:start="511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832"/>
        </w:tabs>
        <w:ind w:start="5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552"/>
        </w:tabs>
        <w:ind w:start="655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footnotePr>
    <w:numFmt w:val="decimal"/>
    <w:footnote w:id="0"/>
    <w:footnote w:id="1"/>
  </w:footnotePr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3600" w:end="0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540"/>
      </w:tabs>
      <w:jc w:val="center"/>
      <w:outlineLvl w:val="1"/>
    </w:pPr>
    <w:rPr>
      <w:rFonts w:ascii="Times New Roman" w:hAnsi="Times New Roman" w:cs="Times New Roman"/>
      <w:b/>
      <w:color w:val="000000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Times New Roman" w:hAnsi="Times New Roman" w:cs="Times New Roman"/>
      <w:b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sz w:val="20"/>
      <w:u w:val="single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Times New Roman" w:hAnsi="Times New Roman" w:cs="Times New Roman"/>
    </w:rPr>
  </w:style>
  <w:style w:type="character" w:styleId="WW8Num10z0">
    <w:name w:val="WW8Num10z0"/>
    <w:qFormat/>
    <w:rPr>
      <w:rFonts w:ascii="Symbol" w:hAnsi="Symbol" w:cs="Symbol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  <w:color w:val="000000"/>
    </w:rPr>
  </w:style>
  <w:style w:type="character" w:styleId="WW8Num14z1">
    <w:name w:val="WW8Num14z1"/>
    <w:qFormat/>
    <w:rPr>
      <w:rFonts w:ascii="Symbol" w:hAnsi="Symbol" w:cs="Symbol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4">
    <w:name w:val="WW8Num14z4"/>
    <w:qFormat/>
    <w:rPr>
      <w:rFonts w:ascii="Courier New" w:hAnsi="Courier New" w:cs="Courier New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FootnoteText">
    <w:name w:val="footnote text"/>
    <w:basedOn w:val="Normal"/>
    <w:pPr/>
    <w:rPr>
      <w:sz w:val="20"/>
    </w:rPr>
  </w:style>
  <w:style w:type="paragraph" w:styleId="BodyText2">
    <w:name w:val="Body Text 2"/>
    <w:basedOn w:val="Normal"/>
    <w:qFormat/>
    <w:pPr>
      <w:tabs>
        <w:tab w:val="clear" w:pos="540"/>
      </w:tabs>
      <w:spacing w:before="0" w:after="240"/>
      <w:ind w:hanging="2160" w:start="2160" w:end="0"/>
      <w:jc w:val="both"/>
    </w:pPr>
    <w:rPr>
      <w:rFonts w:ascii="Times New Roman" w:hAnsi="Times New Roman" w:cs="Times New Roman"/>
      <w:color w:val="000000"/>
    </w:rPr>
  </w:style>
  <w:style w:type="paragraph" w:styleId="BodyTextIndent">
    <w:name w:val="Body Text Indent"/>
    <w:basedOn w:val="Normal"/>
    <w:pPr>
      <w:spacing w:before="0" w:after="240"/>
      <w:ind w:hanging="2880" w:start="2880" w:end="0"/>
    </w:pPr>
    <w:rPr>
      <w:sz w:val="20"/>
    </w:rPr>
  </w:style>
  <w:style w:type="paragraph" w:styleId="EndnoteText">
    <w:name w:val="endnote text"/>
    <w:basedOn w:val="Normal"/>
    <w:pPr/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2000-09-19T14:08:00Z</dcterms:created>
  <dc:creator>Jeff Ford</dc:creator>
  <dc:description/>
  <dc:language>en-CA</dc:language>
  <cp:lastModifiedBy>mmcvick</cp:lastModifiedBy>
  <cp:lastPrinted>2000-09-19T12:34:00Z</cp:lastPrinted>
  <dcterms:modified xsi:type="dcterms:W3CDTF">2000-09-20T11:36:00Z</dcterms:modified>
  <cp:revision>9</cp:revision>
  <dc:subject/>
  <dc:title>Eron Capital &amp; Trade Resources Memo</dc:title>
</cp:coreProperties>
</file>