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84885"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84885" cy="987425"/>
                    </a:xfrm>
                    <a:prstGeom prst="rect">
                      <a:avLst/>
                    </a:prstGeom>
                    <a:noFill/>
                  </pic:spPr>
                </pic:pic>
              </a:graphicData>
            </a:graphic>
          </wp:inline>
        </w:drawing>
      </w:r>
    </w:p>
    <w:p>
      <w:pPr>
        <w:pStyle w:val="Heading"/>
        <w:rPr>
          <w:sz w:val="20"/>
        </w:rPr>
      </w:pPr>
      <w:r>
        <w:rPr>
          <w:sz w:val="20"/>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Ken Lay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6"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Steve Kean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279"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Call to Gramm</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August 14, 2000</w:t>
            </w:r>
          </w:p>
        </w:tc>
      </w:tr>
    </w:tbl>
    <w:p>
      <w:pPr>
        <w:pStyle w:val="Body"/>
        <w:jc w:val="both"/>
        <w:rPr/>
      </w:pPr>
      <w:r>
        <w:rPr/>
      </w:r>
      <w:bookmarkStart w:id="2" w:name="StartOfMemo"/>
      <w:bookmarkStart w:id="3" w:name="StartOfMemo"/>
      <w:bookmarkEnd w:id="3"/>
    </w:p>
    <w:p>
      <w:pPr>
        <w:pStyle w:val="Body"/>
        <w:jc w:val="both"/>
        <w:rPr/>
      </w:pPr>
      <w:r>
        <w:rPr/>
      </w:r>
    </w:p>
    <w:p>
      <w:pPr>
        <w:pStyle w:val="Body"/>
        <w:jc w:val="both"/>
        <w:rPr/>
      </w:pPr>
      <w:r>
        <w:rPr/>
      </w:r>
    </w:p>
    <w:p>
      <w:pPr>
        <w:pStyle w:val="Body"/>
        <w:jc w:val="both"/>
        <w:rPr/>
      </w:pPr>
      <w:r>
        <w:rPr/>
        <w:tab/>
        <w:t>There are two items to discuss with Gramm:  (1) electric restructuring, and (2) CFTC reauthorization.  Based on my discussion with our DC office today, the real action on the CFTC issue may not happen until mid</w:t>
        <w:noBreakHyphen/>
        <w:t>September when the House acts.  But, if you can speak with Gramm both now and then, I think you should go ahead and cover both issues now.</w:t>
      </w:r>
    </w:p>
    <w:p>
      <w:pPr>
        <w:pStyle w:val="Body"/>
        <w:jc w:val="both"/>
        <w:rPr/>
      </w:pPr>
      <w:r>
        <w:rPr/>
      </w:r>
    </w:p>
    <w:p>
      <w:pPr>
        <w:pStyle w:val="Body"/>
        <w:jc w:val="both"/>
        <w:rPr/>
      </w:pPr>
      <w:r>
        <w:rPr/>
        <w:tab/>
        <w:t>I know you are up to speed on the electricity issues so I will focus on the CFTC.</w:t>
      </w:r>
    </w:p>
    <w:p>
      <w:pPr>
        <w:pStyle w:val="Body"/>
        <w:jc w:val="both"/>
        <w:rPr/>
      </w:pPr>
      <w:r>
        <w:rPr/>
      </w:r>
    </w:p>
    <w:p>
      <w:pPr>
        <w:pStyle w:val="Body"/>
        <w:jc w:val="both"/>
        <w:rPr>
          <w:u w:val="single"/>
        </w:rPr>
      </w:pPr>
      <w:r>
        <w:rPr>
          <w:b/>
          <w:u w:val="single"/>
        </w:rPr>
        <w:t>CFTC</w:t>
      </w:r>
    </w:p>
    <w:p>
      <w:pPr>
        <w:pStyle w:val="Body"/>
        <w:jc w:val="both"/>
        <w:rPr>
          <w:u w:val="single"/>
        </w:rPr>
      </w:pPr>
      <w:r>
        <w:rPr>
          <w:u w:val="single"/>
        </w:rPr>
      </w:r>
    </w:p>
    <w:p>
      <w:pPr>
        <w:pStyle w:val="Body"/>
        <w:numPr>
          <w:ilvl w:val="0"/>
          <w:numId w:val="2"/>
        </w:numPr>
        <w:tabs>
          <w:tab w:val="left" w:pos="432" w:leader="none"/>
        </w:tabs>
        <w:spacing w:before="0" w:after="240"/>
        <w:ind w:hanging="360" w:start="432" w:end="0"/>
        <w:jc w:val="both"/>
        <w:rPr/>
      </w:pPr>
      <w:r>
        <w:rPr/>
        <w:t>We have helpful CFTC reauthorization vehicles pending in both the House and Senate and would like Senator Gramm’s help in facilitating the processing of the legislation.  [Senator Gramm is the key Senate figure on the issue and with his leadership the legislation can move.  Otherwise, it may languish.]</w:t>
      </w:r>
    </w:p>
    <w:p>
      <w:pPr>
        <w:pStyle w:val="Body"/>
        <w:numPr>
          <w:ilvl w:val="0"/>
          <w:numId w:val="2"/>
        </w:numPr>
        <w:tabs>
          <w:tab w:val="left" w:pos="432" w:leader="none"/>
        </w:tabs>
        <w:spacing w:before="0" w:after="240"/>
        <w:ind w:hanging="360" w:start="432" w:end="0"/>
        <w:jc w:val="both"/>
        <w:rPr/>
      </w:pPr>
      <w:r>
        <w:rPr/>
        <w:t xml:space="preserve">The House version includes a full </w:t>
      </w:r>
      <w:r>
        <w:rPr>
          <w:u w:val="single"/>
        </w:rPr>
        <w:t>exemption</w:t>
      </w:r>
      <w:r>
        <w:rPr/>
        <w:t xml:space="preserve"> from CFTC regulation for all nonagricultural commodities (</w:t>
      </w:r>
      <w:r>
        <w:rPr>
          <w:u w:val="single"/>
        </w:rPr>
        <w:t>i.e.</w:t>
      </w:r>
      <w:r>
        <w:rPr/>
        <w:t> energy as well as Enron’s newer commodity businesses such as metals).  In addition, the House version provides an exemption for multilateral transactions for the exempt commodities.</w:t>
      </w:r>
    </w:p>
    <w:p>
      <w:pPr>
        <w:pStyle w:val="Body"/>
        <w:numPr>
          <w:ilvl w:val="0"/>
          <w:numId w:val="2"/>
        </w:numPr>
        <w:tabs>
          <w:tab w:val="left" w:pos="432" w:leader="none"/>
        </w:tabs>
        <w:spacing w:before="0" w:after="240"/>
        <w:ind w:hanging="360" w:start="432" w:end="0"/>
        <w:jc w:val="both"/>
        <w:rPr/>
      </w:pPr>
      <w:r>
        <w:rPr/>
        <w:t xml:space="preserve">The Senate version provides an exemption for energy commodities and we believe Senate Democrats would be amenable to adding, on the Senate floor, an exemption for all nonagricultural commodities as well as an exemption for multilateral transaction mechanisms. </w:t>
      </w:r>
      <w:r>
        <w:rPr>
          <w:rStyle w:val="FootnoteCharacters"/>
          <w:rStyle w:val="FootnoteReference"/>
          <w:rFonts w:eastAsia="Symbol" w:cs="Symbol" w:ascii="Symbol" w:hAnsi="Symbol"/>
        </w:rPr>
        <w:footnoteReference w:customMarkFollows="1" w:id="2"/>
        <w:t></w:t>
      </w:r>
    </w:p>
    <w:p>
      <w:pPr>
        <w:pStyle w:val="Body"/>
        <w:numPr>
          <w:ilvl w:val="0"/>
          <w:numId w:val="2"/>
        </w:numPr>
        <w:tabs>
          <w:tab w:val="left" w:pos="432" w:leader="none"/>
        </w:tabs>
        <w:spacing w:before="0" w:after="240"/>
        <w:ind w:hanging="360" w:start="432" w:end="0"/>
        <w:jc w:val="both"/>
        <w:rPr/>
      </w:pPr>
      <w:r>
        <w:rPr/>
        <w:t>The key is to get legislation moving this year.  We are within striking distance of legal certainty on this issue this year.  We have made extraordinary progress in commoditizing markets through EOL and Enron Networks.  Continued legal certainty (</w:t>
      </w:r>
      <w:r>
        <w:rPr>
          <w:u w:val="single"/>
        </w:rPr>
        <w:t>i.e.</w:t>
      </w:r>
      <w:r>
        <w:rPr/>
        <w:t xml:space="preserve"> a hands off approach to these markets) is esential to continued growth and innovation.</w:t>
      </w:r>
    </w:p>
    <w:p>
      <w:pPr>
        <w:pStyle w:val="Body"/>
        <w:numPr>
          <w:ilvl w:val="0"/>
          <w:numId w:val="2"/>
        </w:numPr>
        <w:tabs>
          <w:tab w:val="left" w:pos="432" w:leader="none"/>
        </w:tabs>
        <w:ind w:hanging="360" w:start="432" w:end="0"/>
        <w:jc w:val="both"/>
        <w:rPr/>
      </w:pPr>
      <w:r>
        <w:rPr/>
        <w:t>Note:  Senator Gramm may say that he will wait until the House acts (</w:t>
      </w:r>
      <w:r>
        <w:rPr>
          <w:u w:val="single"/>
        </w:rPr>
        <w:t>i.e.</w:t>
      </w:r>
      <w:r>
        <w:rPr/>
        <w:t xml:space="preserve"> Mid-September).  You may want to put in a “placeholder” to call him again once the House moves.</w:t>
      </w:r>
    </w:p>
    <w:p>
      <w:pPr>
        <w:pStyle w:val="Body"/>
        <w:jc w:val="both"/>
        <w:rPr/>
      </w:pPr>
      <w:r>
        <w:rPr/>
      </w:r>
    </w:p>
    <w:p>
      <w:pPr>
        <w:pStyle w:val="Body"/>
        <w:jc w:val="both"/>
        <w:rPr/>
      </w:pPr>
      <w:r>
        <w:rPr/>
      </w:r>
    </w:p>
    <w:p>
      <w:pPr>
        <w:pStyle w:val="Body"/>
        <w:keepNext w:val="true"/>
        <w:keepLines/>
        <w:jc w:val="both"/>
        <w:rPr>
          <w:u w:val="single"/>
        </w:rPr>
      </w:pPr>
      <w:r>
        <w:rPr>
          <w:b/>
          <w:u w:val="single"/>
        </w:rPr>
        <w:t>ELECTRICITY</w:t>
      </w:r>
    </w:p>
    <w:p>
      <w:pPr>
        <w:pStyle w:val="Body"/>
        <w:keepNext w:val="true"/>
        <w:keepLines/>
        <w:jc w:val="both"/>
        <w:rPr>
          <w:u w:val="single"/>
        </w:rPr>
      </w:pPr>
      <w:r>
        <w:rPr>
          <w:u w:val="single"/>
        </w:rPr>
      </w:r>
    </w:p>
    <w:p>
      <w:pPr>
        <w:pStyle w:val="Body"/>
        <w:keepNext w:val="true"/>
        <w:keepLines/>
        <w:numPr>
          <w:ilvl w:val="0"/>
          <w:numId w:val="3"/>
        </w:numPr>
        <w:tabs>
          <w:tab w:val="left" w:pos="432" w:leader="none"/>
        </w:tabs>
        <w:ind w:hanging="360" w:start="432" w:end="0"/>
        <w:jc w:val="both"/>
        <w:rPr/>
      </w:pPr>
      <w:r>
        <w:rPr/>
        <w:t xml:space="preserve">From your conversation with Sen. Schumer you know about the PUHCA only legislation strategy - - </w:t>
      </w:r>
      <w:r>
        <w:rPr>
          <w:u w:val="single"/>
        </w:rPr>
        <w:t>i.e.</w:t>
      </w:r>
      <w:r>
        <w:rPr/>
        <w:t xml:space="preserve"> the Senate Banking Committee passes PUHCA repeal which then serves as a vehicle for comprehensive reform.  Here is the danger to discuss with Senator Gramm:  PUHCA only in the Senate </w:t>
      </w:r>
      <w:r>
        <w:rPr>
          <w:u w:val="single"/>
        </w:rPr>
        <w:t>plus</w:t>
      </w:r>
      <w:r>
        <w:rPr/>
        <w:t xml:space="preserve"> House reliability – only legislation </w:t>
      </w:r>
      <w:r>
        <w:rPr>
          <w:u w:val="single"/>
        </w:rPr>
        <w:t>equals</w:t>
      </w:r>
      <w:r>
        <w:rPr/>
        <w:t xml:space="preserve"> a utility windfall (with the competitive market losing and little if any incentive to deal with the issue in the next Congress).  It would be useful to get Senator Gramm’s perspective if this topic comes up.</w:t>
      </w:r>
    </w:p>
    <w:p>
      <w:pPr>
        <w:pStyle w:val="Body"/>
        <w:ind w:start="432" w:end="0"/>
        <w:jc w:val="both"/>
        <w:rPr/>
      </w:pPr>
      <w:r>
        <w:rPr/>
      </w:r>
    </w:p>
    <w:p>
      <w:pPr>
        <w:pStyle w:val="Body"/>
        <w:ind w:start="432" w:end="0"/>
        <w:jc w:val="both"/>
        <w:rPr/>
      </w:pPr>
      <w:r>
        <w:rPr/>
        <w:t>Let me know if you need anything else.  Thanks for making the call.</w:t>
      </w:r>
    </w:p>
    <w:sectPr>
      <w:headerReference w:type="default" r:id="rId3"/>
      <w:headerReference w:type="first" r:id="rId4"/>
      <w:footerReference w:type="default" r:id="rId5"/>
      <w:footerReference w:type="first" r:id="rId6"/>
      <w:footnotePr>
        <w:numFmt w:val="decimal"/>
      </w:footnotePr>
      <w:type w:val="nextPage"/>
      <w:pgSz w:w="12240" w:h="15840"/>
      <w:pgMar w:left="1152" w:right="1152" w:gutter="0" w:header="720" w:top="776" w:footer="576" w:bottom="6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rFonts w:eastAsia="Arial"/>
        </w:rPr>
        <w:t xml:space="preserve"> </w:t>
      </w:r>
      <w:r>
        <w:rPr/>
        <w:t xml:space="preserve">Originally, Senator Gramm had introduced legislation providing an </w:t>
      </w:r>
      <w:r>
        <w:rPr>
          <w:u w:val="single"/>
        </w:rPr>
        <w:t>exclusion</w:t>
      </w:r>
      <w:r>
        <w:rPr/>
        <w:t xml:space="preserve"> for energy commodities.  An exclusion is different from an exemption in the following two respects:  (1) an exemption lasts only for the term of the reauthorization while an exclusion is permanent (</w:t>
      </w:r>
      <w:r>
        <w:rPr>
          <w:u w:val="single"/>
        </w:rPr>
        <w:t>i.e.</w:t>
      </w:r>
      <w:r>
        <w:rPr/>
        <w:t xml:space="preserve"> at least until Congress changes the legislation); and (2) an exemption would not extend to CFTC’s ability to investigate and punish fraud while an exclusion would eliminate CFTC jurisdiction over the commodities.  We would prefer to get the exemptions this year for </w:t>
      </w:r>
      <w:r>
        <w:rPr>
          <w:u w:val="single"/>
        </w:rPr>
        <w:t>all</w:t>
      </w:r>
      <w:r>
        <w:rPr/>
        <w:t xml:space="preserve"> nonagricultural, rather than risk no legislation this year.</w:t>
      </w:r>
    </w:p>
    <w:p>
      <w:pPr>
        <w:pStyle w:val="FootnoteText"/>
        <w:rPr/>
      </w:pPr>
      <w:r>
        <w:rPr/>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txbxContent>
              </v:textbox>
              <w10:wrap type="square"/>
            </v:rect>
          </w:pict>
        </mc:Fallback>
      </mc:AlternateContent>
    </w:r>
  </w:p>
  <w:p>
    <w:pPr>
      <w:pStyle w:val="Heading1"/>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939800"/>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939800"/>
                      </a:xfrm>
                      <a:prstGeom prst="rect"/>
                      <a:solidFill>
                        <a:srgbClr val="FFFFFF">
                          <a:alpha val="0"/>
                        </a:srgbClr>
                      </a:solidFill>
                    </wps:spPr>
                    <wps:txbx>
                      <w:txbxContent>
                        <w:p>
                          <w:pPr>
                            <w:pStyle w:val="Heading1"/>
                            <w:rPr/>
                          </w:pPr>
                          <w:r>
                            <w:rPr/>
                          </w:r>
                        </w:p>
                        <w:p>
                          <w:pPr>
                            <w:pStyle w:val="Heading1"/>
                            <w:rPr/>
                          </w:pPr>
                          <w:r>
                            <w:rPr/>
                          </w:r>
                        </w:p>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74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p>
                    <w:pPr>
                      <w:pStyle w:val="Heading1"/>
                      <w:rPr/>
                    </w:pPr>
                    <w:r>
                      <w:rPr/>
                    </w:r>
                  </w:p>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b/>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u w:val="single"/>
    </w:rPr>
  </w:style>
  <w:style w:type="paragraph" w:styleId="Heading7">
    <w:name w:val="heading 7"/>
    <w:basedOn w:val="Normal"/>
    <w:next w:val="Normal"/>
    <w:qFormat/>
    <w:pPr>
      <w:keepNext w:val="true"/>
      <w:numPr>
        <w:ilvl w:val="6"/>
        <w:numId w:val="1"/>
      </w:numPr>
      <w:outlineLvl w:val="6"/>
    </w:pPr>
    <w:rPr>
      <w:sz w:val="20"/>
      <w:u w:val="single"/>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Times New Roman" w:hAnsi="Times New Roman" w:cs="Times New Roman"/>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BodyText2">
    <w:name w:val="Body Text 2"/>
    <w:basedOn w:val="Normal"/>
    <w:qFormat/>
    <w:pPr>
      <w:tabs>
        <w:tab w:val="clear" w:pos="540"/>
      </w:tabs>
      <w:spacing w:before="0" w:after="240"/>
      <w:ind w:hanging="2160" w:start="2160" w:end="0"/>
      <w:jc w:val="both"/>
    </w:pPr>
    <w:rPr>
      <w:rFonts w:ascii="Times New Roman" w:hAnsi="Times New Roman" w:cs="Times New Roman"/>
      <w:color w:val="000000"/>
    </w:rPr>
  </w:style>
  <w:style w:type="paragraph" w:styleId="BodyTextIndent">
    <w:name w:val="Body Text Indent"/>
    <w:basedOn w:val="Normal"/>
    <w:pPr>
      <w:spacing w:before="0" w:after="240"/>
      <w:ind w:hanging="2880" w:start="288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2000-08-14T20:25:00Z</dcterms:created>
  <dc:creator>Jeff Ford</dc:creator>
  <dc:description/>
  <dc:language>en-CA</dc:language>
  <cp:lastModifiedBy>mmcvicke</cp:lastModifiedBy>
  <cp:lastPrinted>2000-08-14T18:21:00Z</cp:lastPrinted>
  <dcterms:modified xsi:type="dcterms:W3CDTF">2000-08-14T21:10:00Z</dcterms:modified>
  <cp:revision>5</cp:revision>
  <dc:subject/>
  <dc:title>Eron Capital &amp; Trade Resources Memo</dc:title>
</cp:coreProperties>
</file>