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tabs>
          <w:tab w:val="clear" w:pos="720"/>
          <w:tab w:val="right" w:pos="6120" w:leader="none"/>
          <w:tab w:val="right" w:pos="9360" w:leader="none"/>
        </w:tabs>
        <w:rPr/>
      </w:pPr>
      <w:r>
        <w:rPr/>
        <w:drawing>
          <wp:inline distT="0" distB="0" distL="0" distR="0">
            <wp:extent cx="530225" cy="5238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530225" cy="523875"/>
                    </a:xfrm>
                    <a:prstGeom prst="rect">
                      <a:avLst/>
                    </a:prstGeom>
                    <a:noFill/>
                  </pic:spPr>
                </pic:pic>
              </a:graphicData>
            </a:graphic>
          </wp:inline>
        </w:drawing>
      </w:r>
    </w:p>
    <w:p>
      <w:pPr>
        <w:pStyle w:val="Normal"/>
        <w:rPr/>
      </w:pPr>
      <w:r>
        <w:rPr/>
      </w:r>
    </w:p>
    <w:tbl>
      <w:tblPr>
        <w:tblW w:w="9450" w:type="dxa"/>
        <w:jc w:val="start"/>
        <w:tblInd w:w="108" w:type="dxa"/>
        <w:tblLayout w:type="fixed"/>
        <w:tblCellMar>
          <w:top w:w="0" w:type="dxa"/>
          <w:start w:w="108" w:type="dxa"/>
          <w:bottom w:w="0" w:type="dxa"/>
          <w:end w:w="108" w:type="dxa"/>
        </w:tblCellMar>
      </w:tblPr>
      <w:tblGrid>
        <w:gridCol w:w="789"/>
        <w:gridCol w:w="4390"/>
        <w:gridCol w:w="1157"/>
        <w:gridCol w:w="3114"/>
      </w:tblGrid>
      <w:tr>
        <w:trPr>
          <w:trHeight w:val="300" w:hRule="exact"/>
        </w:trPr>
        <w:tc>
          <w:tcPr>
            <w:tcW w:w="789" w:type="dxa"/>
            <w:tcBorders/>
          </w:tcPr>
          <w:p>
            <w:pPr>
              <w:pStyle w:val="Normal"/>
              <w:ind w:start="-180" w:end="0"/>
              <w:jc w:val="end"/>
              <w:rPr/>
            </w:pPr>
            <w:r>
              <w:rPr>
                <w:sz w:val="18"/>
              </w:rPr>
              <w:t>To</w:t>
            </w:r>
            <w:r>
              <w:rPr>
                <w:sz w:val="16"/>
              </w:rPr>
              <w:t>:</w:t>
            </w:r>
          </w:p>
        </w:tc>
        <w:tc>
          <w:tcPr>
            <w:tcW w:w="4390" w:type="dxa"/>
            <w:tcBorders/>
          </w:tcPr>
          <w:p>
            <w:pPr>
              <w:pStyle w:val="To"/>
              <w:rPr>
                <w:rFonts w:ascii="Helv" w:hAnsi="Helv" w:cs="Helv"/>
              </w:rPr>
            </w:pPr>
            <w:r>
              <w:rPr>
                <w:rFonts w:cs="Helv" w:ascii="Helv" w:hAnsi="Helv"/>
              </w:rPr>
              <w:t>Stan Horton, Rod Hayslett</w:t>
            </w:r>
          </w:p>
          <w:p>
            <w:pPr>
              <w:pStyle w:val="To"/>
              <w:rPr>
                <w:rFonts w:ascii="Helv" w:hAnsi="Helv" w:cs="Helv"/>
              </w:rPr>
            </w:pPr>
            <w:r>
              <w:rPr>
                <w:rFonts w:cs="Helv" w:ascii="Helv" w:hAnsi="Helv"/>
              </w:rPr>
            </w:r>
          </w:p>
        </w:tc>
        <w:tc>
          <w:tcPr>
            <w:tcW w:w="1157" w:type="dxa"/>
            <w:tcBorders/>
          </w:tcPr>
          <w:p>
            <w:pPr>
              <w:pStyle w:val="Normal"/>
              <w:snapToGrid w:val="false"/>
              <w:ind w:start="-180" w:end="0"/>
              <w:rPr>
                <w:rFonts w:ascii="Helv" w:hAnsi="Helv" w:cs="Helv"/>
              </w:rPr>
            </w:pPr>
            <w:r>
              <w:rPr>
                <w:rFonts w:cs="Helv" w:ascii="Helv" w:hAnsi="Helv"/>
              </w:rPr>
            </w:r>
          </w:p>
        </w:tc>
        <w:tc>
          <w:tcPr>
            <w:tcW w:w="3114" w:type="dxa"/>
            <w:tcBorders/>
          </w:tcPr>
          <w:p>
            <w:pPr>
              <w:pStyle w:val="Normal"/>
              <w:snapToGrid w:val="false"/>
              <w:rPr/>
            </w:pPr>
            <w:r>
              <w:rPr/>
            </w:r>
          </w:p>
        </w:tc>
      </w:tr>
      <w:tr>
        <w:trPr>
          <w:trHeight w:val="216" w:hRule="exact"/>
        </w:trPr>
        <w:tc>
          <w:tcPr>
            <w:tcW w:w="789" w:type="dxa"/>
            <w:tcBorders/>
          </w:tcPr>
          <w:p>
            <w:pPr>
              <w:pStyle w:val="Normal"/>
              <w:snapToGrid w:val="false"/>
              <w:ind w:start="-180" w:end="0"/>
              <w:jc w:val="end"/>
              <w:rPr>
                <w:sz w:val="18"/>
              </w:rPr>
            </w:pPr>
            <w:r>
              <w:rPr>
                <w:sz w:val="18"/>
              </w:rPr>
            </w:r>
          </w:p>
        </w:tc>
        <w:tc>
          <w:tcPr>
            <w:tcW w:w="4390" w:type="dxa"/>
            <w:tcBorders/>
          </w:tcPr>
          <w:p>
            <w:pPr>
              <w:pStyle w:val="Normal"/>
              <w:snapToGrid w:val="false"/>
              <w:rPr>
                <w:b/>
                <w:sz w:val="18"/>
              </w:rPr>
            </w:pPr>
            <w:r>
              <w:rPr>
                <w:b/>
                <w:sz w:val="18"/>
              </w:rPr>
            </w:r>
          </w:p>
        </w:tc>
        <w:tc>
          <w:tcPr>
            <w:tcW w:w="1157" w:type="dxa"/>
            <w:tcBorders/>
          </w:tcPr>
          <w:p>
            <w:pPr>
              <w:pStyle w:val="Normal"/>
              <w:snapToGrid w:val="false"/>
              <w:ind w:start="-180" w:end="0"/>
              <w:rPr>
                <w:b/>
                <w:sz w:val="18"/>
              </w:rPr>
            </w:pPr>
            <w:r>
              <w:rPr>
                <w:b/>
                <w:sz w:val="18"/>
              </w:rPr>
            </w:r>
          </w:p>
        </w:tc>
        <w:tc>
          <w:tcPr>
            <w:tcW w:w="3114" w:type="dxa"/>
            <w:tcBorders/>
          </w:tcPr>
          <w:p>
            <w:pPr>
              <w:pStyle w:val="Normal"/>
              <w:snapToGrid w:val="false"/>
              <w:rPr>
                <w:sz w:val="18"/>
              </w:rPr>
            </w:pPr>
            <w:r>
              <w:rPr>
                <w:sz w:val="18"/>
              </w:rPr>
            </w:r>
          </w:p>
        </w:tc>
      </w:tr>
      <w:tr>
        <w:trPr>
          <w:trHeight w:val="300" w:hRule="exact"/>
        </w:trPr>
        <w:tc>
          <w:tcPr>
            <w:tcW w:w="789" w:type="dxa"/>
            <w:tcBorders/>
          </w:tcPr>
          <w:p>
            <w:pPr>
              <w:pStyle w:val="Normal"/>
              <w:ind w:start="-180" w:end="0"/>
              <w:jc w:val="end"/>
              <w:rPr>
                <w:sz w:val="18"/>
              </w:rPr>
            </w:pPr>
            <w:r>
              <w:rPr>
                <w:sz w:val="18"/>
              </w:rPr>
              <w:t>From:</w:t>
            </w:r>
          </w:p>
        </w:tc>
        <w:tc>
          <w:tcPr>
            <w:tcW w:w="4390" w:type="dxa"/>
            <w:tcBorders/>
          </w:tcPr>
          <w:p>
            <w:pPr>
              <w:pStyle w:val="From"/>
              <w:rPr>
                <w:rFonts w:ascii="Helv" w:hAnsi="Helv" w:cs="Helv"/>
              </w:rPr>
            </w:pPr>
            <w:r>
              <w:rPr>
                <w:rFonts w:cs="Helv" w:ascii="Helv" w:hAnsi="Helv"/>
              </w:rPr>
              <w:t>Jim Prentice</w:t>
            </w:r>
          </w:p>
        </w:tc>
        <w:tc>
          <w:tcPr>
            <w:tcW w:w="1157" w:type="dxa"/>
            <w:tcBorders/>
          </w:tcPr>
          <w:p>
            <w:pPr>
              <w:pStyle w:val="Normal"/>
              <w:ind w:start="-180" w:end="0"/>
              <w:jc w:val="end"/>
              <w:rPr>
                <w:sz w:val="18"/>
              </w:rPr>
            </w:pPr>
            <w:r>
              <w:rPr>
                <w:sz w:val="18"/>
              </w:rPr>
              <w:t>Department:</w:t>
            </w:r>
          </w:p>
        </w:tc>
        <w:tc>
          <w:tcPr>
            <w:tcW w:w="3114" w:type="dxa"/>
            <w:tcBorders/>
          </w:tcPr>
          <w:p>
            <w:pPr>
              <w:pStyle w:val="Department"/>
              <w:rPr>
                <w:rFonts w:ascii="Helv" w:hAnsi="Helv" w:cs="Helv"/>
              </w:rPr>
            </w:pPr>
            <w:bookmarkStart w:id="0" w:name="tDepartment"/>
            <w:bookmarkStart w:id="1" w:name="From"/>
            <w:bookmarkEnd w:id="0"/>
            <w:bookmarkEnd w:id="1"/>
            <w:r>
              <w:rPr>
                <w:rFonts w:cs="Helv" w:ascii="Helv" w:hAnsi="Helv"/>
              </w:rPr>
              <w:t>Enron Clean Fuels</w:t>
            </w:r>
          </w:p>
        </w:tc>
      </w:tr>
      <w:tr>
        <w:trPr>
          <w:trHeight w:val="216" w:hRule="exact"/>
        </w:trPr>
        <w:tc>
          <w:tcPr>
            <w:tcW w:w="789" w:type="dxa"/>
            <w:tcBorders/>
          </w:tcPr>
          <w:p>
            <w:pPr>
              <w:pStyle w:val="Normal"/>
              <w:snapToGrid w:val="false"/>
              <w:ind w:start="-180" w:end="0"/>
              <w:jc w:val="end"/>
              <w:rPr>
                <w:rFonts w:ascii="Helv" w:hAnsi="Helv" w:cs="Helv"/>
                <w:sz w:val="18"/>
              </w:rPr>
            </w:pPr>
            <w:r>
              <w:rPr>
                <w:rFonts w:cs="Helv" w:ascii="Helv" w:hAnsi="Helv"/>
                <w:sz w:val="18"/>
              </w:rPr>
            </w:r>
          </w:p>
        </w:tc>
        <w:tc>
          <w:tcPr>
            <w:tcW w:w="4390" w:type="dxa"/>
            <w:tcBorders/>
          </w:tcPr>
          <w:p>
            <w:pPr>
              <w:pStyle w:val="Normal"/>
              <w:snapToGrid w:val="false"/>
              <w:rPr>
                <w:sz w:val="18"/>
              </w:rPr>
            </w:pPr>
            <w:r>
              <w:rPr>
                <w:sz w:val="18"/>
              </w:rPr>
            </w:r>
          </w:p>
        </w:tc>
        <w:tc>
          <w:tcPr>
            <w:tcW w:w="1157" w:type="dxa"/>
            <w:tcBorders/>
          </w:tcPr>
          <w:p>
            <w:pPr>
              <w:pStyle w:val="Normal"/>
              <w:snapToGrid w:val="false"/>
              <w:ind w:start="-180" w:end="0"/>
              <w:rPr>
                <w:sz w:val="18"/>
              </w:rPr>
            </w:pPr>
            <w:r>
              <w:rPr>
                <w:sz w:val="18"/>
              </w:rPr>
            </w:r>
          </w:p>
        </w:tc>
        <w:tc>
          <w:tcPr>
            <w:tcW w:w="3114" w:type="dxa"/>
            <w:tcBorders/>
          </w:tcPr>
          <w:p>
            <w:pPr>
              <w:pStyle w:val="Normal"/>
              <w:snapToGrid w:val="false"/>
              <w:rPr>
                <w:sz w:val="18"/>
              </w:rPr>
            </w:pPr>
            <w:r>
              <w:rPr>
                <w:sz w:val="18"/>
              </w:rPr>
            </w:r>
          </w:p>
        </w:tc>
      </w:tr>
      <w:tr>
        <w:trPr>
          <w:trHeight w:val="600" w:hRule="exact"/>
        </w:trPr>
        <w:tc>
          <w:tcPr>
            <w:tcW w:w="789" w:type="dxa"/>
            <w:tcBorders>
              <w:bottom w:val="single" w:sz="12" w:space="0" w:color="000000"/>
            </w:tcBorders>
          </w:tcPr>
          <w:p>
            <w:pPr>
              <w:pStyle w:val="Normal"/>
              <w:ind w:start="-180" w:end="0"/>
              <w:jc w:val="end"/>
              <w:rPr>
                <w:sz w:val="18"/>
              </w:rPr>
            </w:pPr>
            <w:r>
              <w:rPr>
                <w:sz w:val="18"/>
              </w:rPr>
              <w:t>Subject:</w:t>
            </w:r>
          </w:p>
        </w:tc>
        <w:tc>
          <w:tcPr>
            <w:tcW w:w="4390" w:type="dxa"/>
            <w:tcBorders>
              <w:bottom w:val="single" w:sz="12" w:space="0" w:color="000000"/>
            </w:tcBorders>
          </w:tcPr>
          <w:p>
            <w:pPr>
              <w:pStyle w:val="Subject"/>
              <w:rPr>
                <w:rFonts w:ascii="Helv" w:hAnsi="Helv" w:cs="Helv"/>
              </w:rPr>
            </w:pPr>
            <w:r>
              <w:rPr>
                <w:rFonts w:cs="Helv" w:ascii="Helv" w:hAnsi="Helv"/>
              </w:rPr>
              <w:t>Year 2000 Goal Feedback</w:t>
            </w:r>
          </w:p>
        </w:tc>
        <w:tc>
          <w:tcPr>
            <w:tcW w:w="1157" w:type="dxa"/>
            <w:tcBorders>
              <w:bottom w:val="single" w:sz="12" w:space="0" w:color="000000"/>
            </w:tcBorders>
          </w:tcPr>
          <w:p>
            <w:pPr>
              <w:pStyle w:val="Normal"/>
              <w:ind w:start="-180" w:end="0"/>
              <w:jc w:val="end"/>
              <w:rPr>
                <w:sz w:val="18"/>
              </w:rPr>
            </w:pPr>
            <w:r>
              <w:rPr>
                <w:sz w:val="18"/>
              </w:rPr>
              <w:t>Date:</w:t>
            </w:r>
          </w:p>
        </w:tc>
        <w:tc>
          <w:tcPr>
            <w:tcW w:w="3114" w:type="dxa"/>
            <w:tcBorders>
              <w:bottom w:val="single" w:sz="12" w:space="0" w:color="000000"/>
            </w:tcBorders>
          </w:tcPr>
          <w:p>
            <w:pPr>
              <w:pStyle w:val="Date"/>
              <w:rPr>
                <w:rFonts w:ascii="Helv" w:hAnsi="Helv" w:cs="Helv"/>
              </w:rPr>
            </w:pPr>
            <w:r>
              <w:rPr>
                <w:rFonts w:cs="Helv" w:ascii="Helv" w:hAnsi="Helv"/>
              </w:rPr>
              <w:t>November 27, 2000</w:t>
            </w:r>
          </w:p>
        </w:tc>
      </w:tr>
    </w:tbl>
    <w:p>
      <w:pPr>
        <w:pStyle w:val="Body"/>
        <w:ind w:end="720"/>
        <w:rPr>
          <w:rFonts w:ascii="Helv" w:hAnsi="Helv" w:cs="Helv"/>
          <w:sz w:val="22"/>
        </w:rPr>
      </w:pPr>
      <w:r>
        <w:rPr>
          <w:rFonts w:cs="Helv" w:ascii="Helv" w:hAnsi="Helv"/>
          <w:sz w:val="22"/>
        </w:rPr>
      </w:r>
      <w:bookmarkStart w:id="2" w:name="StartOfMemo"/>
      <w:bookmarkStart w:id="3" w:name="StartOfMemo"/>
      <w:bookmarkEnd w:id="3"/>
    </w:p>
    <w:p>
      <w:pPr>
        <w:pStyle w:val="Body"/>
        <w:ind w:end="720"/>
        <w:rPr/>
      </w:pPr>
      <w:r>
        <w:rPr>
          <w:rFonts w:cs="Helv" w:ascii="Helv" w:hAnsi="Helv"/>
          <w:sz w:val="22"/>
        </w:rPr>
        <w:t xml:space="preserve">Goal: </w:t>
      </w:r>
      <w:r>
        <w:rPr>
          <w:rFonts w:cs="Helv" w:ascii="Helv" w:hAnsi="Helv"/>
          <w:b/>
          <w:sz w:val="22"/>
        </w:rPr>
        <w:t>Divest Enron’s Clean Fuels businesses on terms that avoid further write-offs.</w:t>
      </w:r>
    </w:p>
    <w:p>
      <w:pPr>
        <w:pStyle w:val="Body"/>
        <w:ind w:end="720"/>
        <w:rPr>
          <w:rFonts w:ascii="Helv" w:hAnsi="Helv" w:cs="Helv"/>
          <w:b/>
          <w:sz w:val="22"/>
        </w:rPr>
      </w:pPr>
      <w:r>
        <w:rPr>
          <w:rFonts w:cs="Helv" w:ascii="Helv" w:hAnsi="Helv"/>
          <w:b/>
          <w:sz w:val="22"/>
        </w:rPr>
      </w:r>
    </w:p>
    <w:p>
      <w:pPr>
        <w:pStyle w:val="Body"/>
        <w:ind w:end="720"/>
        <w:rPr>
          <w:rFonts w:ascii="Helv" w:hAnsi="Helv" w:cs="Helv"/>
          <w:sz w:val="22"/>
        </w:rPr>
      </w:pPr>
      <w:r>
        <w:rPr>
          <w:rFonts w:cs="Helv" w:ascii="Helv" w:hAnsi="Helv"/>
          <w:sz w:val="22"/>
        </w:rPr>
        <w:t>We have worked closely with Corporate Development and ETS Business Development to solicit and provide data to potential interested parties for all or part of the Clean Fuels facilities.  Discussions were held with several companies, including Valero, Enterprise, Praxair, Sasol and Dreyfus.  Unfortunately, the book value of these assets is $220 million, and no one was interested in purchasing any of these assets for more than a nominal value.  As a result, all offers or potential offers would have resulted in a substantial write-off for Enron so none have been accepted.</w:t>
      </w:r>
    </w:p>
    <w:p>
      <w:pPr>
        <w:pStyle w:val="Body"/>
        <w:ind w:end="720"/>
        <w:rPr>
          <w:rFonts w:ascii="Helv" w:hAnsi="Helv" w:cs="Helv"/>
          <w:sz w:val="22"/>
        </w:rPr>
      </w:pPr>
      <w:r>
        <w:rPr>
          <w:rFonts w:cs="Helv" w:ascii="Helv" w:hAnsi="Helv"/>
          <w:sz w:val="22"/>
        </w:rPr>
      </w:r>
    </w:p>
    <w:p>
      <w:pPr>
        <w:pStyle w:val="Body"/>
        <w:ind w:end="720"/>
        <w:rPr>
          <w:rFonts w:ascii="Helv" w:hAnsi="Helv" w:cs="Helv"/>
          <w:sz w:val="22"/>
        </w:rPr>
      </w:pPr>
      <w:r>
        <w:rPr>
          <w:rFonts w:cs="Helv" w:ascii="Helv" w:hAnsi="Helv"/>
          <w:sz w:val="22"/>
        </w:rPr>
        <w:t xml:space="preserve">In addition, we have run the economics on several permanent shut-down scenarios and the financial analysis of those decisions indicates that they would negatively impact Enron such that shut-downs are not an option we want to pursue at this time. </w:t>
      </w:r>
    </w:p>
    <w:sectPr>
      <w:headerReference w:type="default" r:id="rId3"/>
      <w:footerReference w:type="default" r:id="rId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00" w:leader="none"/>
        <w:tab w:val="right" w:pos="9360" w:leader="none"/>
      </w:tabs>
      <w:rPr>
        <w:rFonts w:ascii="Arial" w:hAnsi="Arial" w:cs="Arial"/>
        <w:b/>
        <w:sz w:val="16"/>
      </w:rPr>
    </w:pPr>
    <w:r>
      <w:rPr>
        <w:rFonts w:cs="Arial" w:ascii="Arial" w:hAnsi="Arial"/>
        <w:b/>
        <w:sz w:val="16"/>
      </w:rPr>
      <w:t>Natural gas.</w:t>
      <w:tab/>
      <w:t>Electricity.</w:t>
      <w:tab/>
      <w:t>Endless possibilities.</w:t>
    </w:r>
    <w:r>
      <w:rPr>
        <w:rFonts w:eastAsia="Symbol" w:cs="Symbol" w:ascii="Symbol" w:hAnsi="Symbol"/>
        <w:b/>
        <w:sz w:val="16"/>
      </w:rPr>
      <w:sym w:font="Symbol" w:char="f0e4"/>
    </w:r>
  </w:p>
  <w:p>
    <w:pPr>
      <w:pStyle w:val="Footer"/>
      <w:tabs>
        <w:tab w:val="clear" w:pos="4320"/>
        <w:tab w:val="left" w:pos="3780" w:leader="none"/>
        <w:tab w:val="center" w:pos="7560" w:leader="none"/>
        <w:tab w:val="right" w:pos="8640" w:leader="none"/>
        <w:tab w:val="right" w:pos="10800" w:leader="none"/>
      </w:tabs>
      <w:rPr>
        <w:rFonts w:ascii="Arial" w:hAnsi="Arial" w:cs="Arial"/>
        <w:b/>
        <w:sz w:val="16"/>
      </w:rPr>
    </w:pPr>
    <w:r>
      <w:rPr>
        <w:rFonts w:cs="Arial" w:ascii="Arial" w:hAnsi="Arial"/>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jc w:val="center"/>
      <w:rPr>
        <w:rFonts w:ascii="Arial" w:hAnsi="Arial" w:cs="Arial"/>
        <w:b/>
        <w:sz w:val="24"/>
      </w:rPr>
    </w:pPr>
    <w:r>
      <w:rPr>
        <w:rFonts w:cs="Arial" w:ascii="Arial" w:hAnsi="Arial"/>
        <w:b/>
        <w:sz w:val="24"/>
      </w:rPr>
      <w:t>Interoffice Memorandum</w:t>
    </w:r>
  </w:p>
</w:hdr>
</file>

<file path=word/settings.xml><?xml version="1.0" encoding="utf-8"?>
<w:settings xmlns:w="http://schemas.openxmlformats.org/wordprocessingml/2006/main">
  <w:zoom w:percent="8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2000-11-27T19:25:00Z</dcterms:created>
  <dc:creator>john sorrell</dc:creator>
  <dc:description/>
  <dc:language>en-CA</dc:language>
  <cp:lastModifiedBy>kroper</cp:lastModifiedBy>
  <cp:lastPrinted>2000-11-28T09:46:00Z</cp:lastPrinted>
  <dcterms:modified xsi:type="dcterms:W3CDTF">2000-11-28T13:18:00Z</dcterms:modified>
  <cp:revision>5</cp:revision>
  <dc:subject/>
  <dc:title> 	Interoffice Memorandum	 </dc:title>
</cp:coreProperties>
</file>