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object w:dxaOrig="1427" w:dyaOrig="14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35pt;height:70.75pt" filled="f" o:ole="">
            <v:imagedata r:id="rId3" o:title=""/>
          </v:shape>
          <o:OLEObject Type="Embed" ProgID="" ShapeID="ole_rId2" DrawAspect="Content" ObjectID="_1182851711" r:id="rId2"/>
        </w:object>
      </w:r>
    </w:p>
    <w:p>
      <w:pPr>
        <w:pStyle w:val="Heading"/>
        <w:rPr/>
      </w:pPr>
      <w:r>
        <w:rPr/>
      </w:r>
    </w:p>
    <w:tbl>
      <w:tblPr>
        <w:tblW w:w="9540" w:type="dxa"/>
        <w:jc w:val="start"/>
        <w:tblInd w:w="200" w:type="dxa"/>
        <w:tblLayout w:type="fixed"/>
        <w:tblCellMar>
          <w:top w:w="0" w:type="dxa"/>
          <w:start w:w="108" w:type="dxa"/>
          <w:bottom w:w="0" w:type="dxa"/>
          <w:end w:w="108" w:type="dxa"/>
        </w:tblCellMar>
      </w:tblPr>
      <w:tblGrid>
        <w:gridCol w:w="808"/>
        <w:gridCol w:w="5130"/>
        <w:gridCol w:w="720"/>
        <w:gridCol w:w="2880"/>
      </w:tblGrid>
      <w:tr>
        <w:trPr>
          <w:trHeight w:val="300" w:hRule="exact"/>
        </w:trPr>
        <w:tc>
          <w:tcPr>
            <w:tcW w:w="808" w:type="dxa"/>
            <w:tcBorders/>
          </w:tcPr>
          <w:p>
            <w:pPr>
              <w:pStyle w:val="Normal"/>
              <w:ind w:start="-180" w:end="0"/>
              <w:jc w:val="end"/>
              <w:rPr>
                <w:color w:val="000000"/>
                <w:sz w:val="18"/>
              </w:rPr>
            </w:pPr>
            <w:r>
              <w:rPr>
                <w:color w:val="000000"/>
                <w:sz w:val="18"/>
              </w:rPr>
              <w:t>To:</w:t>
            </w:r>
          </w:p>
        </w:tc>
        <w:tc>
          <w:tcPr>
            <w:tcW w:w="5130" w:type="dxa"/>
            <w:tcBorders/>
          </w:tcPr>
          <w:p>
            <w:pPr>
              <w:pStyle w:val="To"/>
              <w:rPr>
                <w:rFonts w:ascii="Times New Roman" w:hAnsi="Times New Roman" w:cs="Times New Roman"/>
                <w:color w:val="000000"/>
              </w:rPr>
            </w:pPr>
            <w:r>
              <w:rPr>
                <w:rFonts w:cs="Times New Roman" w:ascii="Times New Roman" w:hAnsi="Times New Roman"/>
                <w:color w:val="000000"/>
              </w:rPr>
              <w:t>Enron Corp. Compliance Director</w:t>
            </w:r>
          </w:p>
        </w:tc>
        <w:tc>
          <w:tcPr>
            <w:tcW w:w="720" w:type="dxa"/>
            <w:tcBorders/>
          </w:tcPr>
          <w:p>
            <w:pPr>
              <w:pStyle w:val="Normal"/>
              <w:snapToGrid w:val="false"/>
              <w:ind w:start="-180" w:end="0"/>
              <w:rPr>
                <w:rFonts w:ascii="Times New Roman" w:hAnsi="Times New Roman" w:cs="Times New Roman"/>
                <w:color w:val="000000"/>
              </w:rPr>
            </w:pPr>
            <w:r>
              <w:rPr>
                <w:rFonts w:cs="Times New Roman"/>
                <w:color w:val="000000"/>
              </w:rPr>
            </w:r>
          </w:p>
        </w:tc>
        <w:tc>
          <w:tcPr>
            <w:tcW w:w="2880" w:type="dxa"/>
            <w:tcBorders/>
          </w:tcPr>
          <w:p>
            <w:pPr>
              <w:pStyle w:val="Normal"/>
              <w:snapToGrid w:val="false"/>
              <w:rPr>
                <w:color w:val="000000"/>
              </w:rPr>
            </w:pPr>
            <w:r>
              <w:rPr>
                <w:color w:val="000000"/>
              </w:rPr>
            </w:r>
          </w:p>
        </w:tc>
      </w:tr>
      <w:tr>
        <w:trPr>
          <w:trHeight w:val="300" w:hRule="exact"/>
        </w:trPr>
        <w:tc>
          <w:tcPr>
            <w:tcW w:w="808" w:type="dxa"/>
            <w:tcBorders/>
          </w:tcPr>
          <w:p>
            <w:pPr>
              <w:pStyle w:val="Normal"/>
              <w:snapToGrid w:val="false"/>
              <w:ind w:start="-180" w:end="0"/>
              <w:jc w:val="end"/>
              <w:rPr>
                <w:color w:val="000000"/>
              </w:rPr>
            </w:pPr>
            <w:r>
              <w:rPr>
                <w:color w:val="000000"/>
              </w:rPr>
            </w:r>
          </w:p>
        </w:tc>
        <w:tc>
          <w:tcPr>
            <w:tcW w:w="5130" w:type="dxa"/>
            <w:tcBorders/>
          </w:tcPr>
          <w:p>
            <w:pPr>
              <w:pStyle w:val="To"/>
              <w:rPr>
                <w:rFonts w:ascii="Times New Roman" w:hAnsi="Times New Roman" w:cs="Times New Roman"/>
                <w:color w:val="000000"/>
              </w:rPr>
            </w:pPr>
            <w:r>
              <w:rPr>
                <w:rFonts w:cs="Times New Roman" w:ascii="Times New Roman" w:hAnsi="Times New Roman"/>
                <w:color w:val="000000"/>
              </w:rPr>
              <w:t>Board of Directors of Enron Operations Services Corp.</w:t>
            </w:r>
          </w:p>
        </w:tc>
        <w:tc>
          <w:tcPr>
            <w:tcW w:w="720" w:type="dxa"/>
            <w:tcBorders/>
          </w:tcPr>
          <w:p>
            <w:pPr>
              <w:pStyle w:val="Normal"/>
              <w:snapToGrid w:val="false"/>
              <w:ind w:start="-180" w:end="0"/>
              <w:rPr>
                <w:rFonts w:ascii="Times New Roman" w:hAnsi="Times New Roman" w:cs="Times New Roman"/>
                <w:color w:val="000000"/>
              </w:rPr>
            </w:pPr>
            <w:r>
              <w:rPr>
                <w:rFonts w:cs="Times New Roman"/>
                <w:color w:val="000000"/>
              </w:rPr>
            </w:r>
          </w:p>
        </w:tc>
        <w:tc>
          <w:tcPr>
            <w:tcW w:w="2880" w:type="dxa"/>
            <w:tcBorders/>
          </w:tcPr>
          <w:p>
            <w:pPr>
              <w:pStyle w:val="Normal"/>
              <w:snapToGrid w:val="false"/>
              <w:rPr>
                <w:color w:val="000000"/>
              </w:rPr>
            </w:pPr>
            <w:r>
              <w:rPr>
                <w:color w:val="000000"/>
              </w:rPr>
            </w:r>
          </w:p>
        </w:tc>
      </w:tr>
      <w:tr>
        <w:trPr>
          <w:trHeight w:val="216" w:hRule="exact"/>
        </w:trPr>
        <w:tc>
          <w:tcPr>
            <w:tcW w:w="808" w:type="dxa"/>
            <w:tcBorders/>
          </w:tcPr>
          <w:p>
            <w:pPr>
              <w:pStyle w:val="Normal"/>
              <w:snapToGrid w:val="false"/>
              <w:ind w:start="-180" w:end="0"/>
              <w:jc w:val="end"/>
              <w:rPr>
                <w:color w:val="000000"/>
              </w:rPr>
            </w:pPr>
            <w:r>
              <w:rPr>
                <w:color w:val="000000"/>
              </w:rPr>
            </w:r>
          </w:p>
        </w:tc>
        <w:tc>
          <w:tcPr>
            <w:tcW w:w="5130" w:type="dxa"/>
            <w:tcBorders/>
          </w:tcPr>
          <w:p>
            <w:pPr>
              <w:pStyle w:val="Normal"/>
              <w:snapToGrid w:val="false"/>
              <w:rPr>
                <w:color w:val="000000"/>
                <w:sz w:val="20"/>
              </w:rPr>
            </w:pPr>
            <w:r>
              <w:rPr>
                <w:color w:val="000000"/>
                <w:sz w:val="20"/>
              </w:rPr>
            </w:r>
          </w:p>
        </w:tc>
        <w:tc>
          <w:tcPr>
            <w:tcW w:w="720" w:type="dxa"/>
            <w:tcBorders/>
          </w:tcPr>
          <w:p>
            <w:pPr>
              <w:pStyle w:val="Normal"/>
              <w:snapToGrid w:val="false"/>
              <w:ind w:start="-180" w:end="0"/>
              <w:rPr>
                <w:color w:val="000000"/>
                <w:sz w:val="20"/>
              </w:rPr>
            </w:pPr>
            <w:r>
              <w:rPr>
                <w:color w:val="000000"/>
                <w:sz w:val="20"/>
              </w:rPr>
            </w:r>
          </w:p>
        </w:tc>
        <w:tc>
          <w:tcPr>
            <w:tcW w:w="2880" w:type="dxa"/>
            <w:tcBorders/>
          </w:tcPr>
          <w:p>
            <w:pPr>
              <w:pStyle w:val="Normal"/>
              <w:snapToGrid w:val="false"/>
              <w:rPr>
                <w:color w:val="000000"/>
              </w:rPr>
            </w:pPr>
            <w:r>
              <w:rPr>
                <w:color w:val="000000"/>
              </w:rPr>
            </w:r>
          </w:p>
        </w:tc>
      </w:tr>
      <w:tr>
        <w:trPr>
          <w:trHeight w:val="300" w:hRule="exact"/>
        </w:trPr>
        <w:tc>
          <w:tcPr>
            <w:tcW w:w="808" w:type="dxa"/>
            <w:tcBorders/>
          </w:tcPr>
          <w:p>
            <w:pPr>
              <w:pStyle w:val="Normal"/>
              <w:ind w:start="-180" w:end="0"/>
              <w:jc w:val="end"/>
              <w:rPr/>
            </w:pPr>
            <w:r>
              <w:rPr>
                <w:color w:val="000000"/>
                <w:sz w:val="18"/>
              </w:rPr>
              <w:t>From</w:t>
            </w:r>
            <w:r>
              <w:rPr>
                <w:color w:val="000000"/>
              </w:rPr>
              <w:t>:</w:t>
            </w:r>
          </w:p>
        </w:tc>
        <w:tc>
          <w:tcPr>
            <w:tcW w:w="5130" w:type="dxa"/>
            <w:tcBorders/>
          </w:tcPr>
          <w:p>
            <w:pPr>
              <w:pStyle w:val="From"/>
              <w:rPr>
                <w:rFonts w:ascii="Times New Roman" w:hAnsi="Times New Roman" w:cs="Times New Roman"/>
                <w:color w:val="000000"/>
              </w:rPr>
            </w:pPr>
            <w:r>
              <w:rPr>
                <w:rFonts w:cs="Times New Roman" w:ascii="Times New Roman" w:hAnsi="Times New Roman"/>
                <w:color w:val="000000"/>
              </w:rPr>
              <w:t>Enron Transportation Services Company Compliance Committee</w:t>
            </w:r>
          </w:p>
        </w:tc>
        <w:tc>
          <w:tcPr>
            <w:tcW w:w="720" w:type="dxa"/>
            <w:tcBorders/>
          </w:tcPr>
          <w:p>
            <w:pPr>
              <w:pStyle w:val="Normal"/>
              <w:ind w:start="-180" w:end="0"/>
              <w:jc w:val="end"/>
              <w:rPr/>
            </w:pPr>
            <w:r>
              <w:rPr>
                <w:color w:val="000000"/>
                <w:sz w:val="18"/>
              </w:rPr>
              <w:t>Group</w:t>
            </w:r>
            <w:r>
              <w:rPr>
                <w:color w:val="000000"/>
              </w:rPr>
              <w:t>:</w:t>
            </w:r>
          </w:p>
        </w:tc>
        <w:tc>
          <w:tcPr>
            <w:tcW w:w="2880" w:type="dxa"/>
            <w:tcBorders/>
          </w:tcPr>
          <w:p>
            <w:pPr>
              <w:pStyle w:val="Department"/>
              <w:rPr>
                <w:rFonts w:ascii="Times New Roman" w:hAnsi="Times New Roman" w:cs="Times New Roman"/>
                <w:color w:val="000000"/>
              </w:rPr>
            </w:pPr>
            <w:bookmarkStart w:id="0" w:name="From"/>
            <w:bookmarkEnd w:id="0"/>
            <w:r>
              <w:rPr>
                <w:rFonts w:cs="Times New Roman" w:ascii="Times New Roman" w:hAnsi="Times New Roman"/>
                <w:color w:val="000000"/>
              </w:rPr>
              <w:t>Enron Transportation Services Company</w:t>
            </w:r>
          </w:p>
        </w:tc>
      </w:tr>
      <w:tr>
        <w:trPr>
          <w:trHeight w:val="216" w:hRule="exact"/>
        </w:trPr>
        <w:tc>
          <w:tcPr>
            <w:tcW w:w="808" w:type="dxa"/>
            <w:tcBorders/>
          </w:tcPr>
          <w:p>
            <w:pPr>
              <w:pStyle w:val="Normal"/>
              <w:snapToGrid w:val="false"/>
              <w:ind w:start="-180" w:end="0"/>
              <w:jc w:val="end"/>
              <w:rPr>
                <w:rFonts w:ascii="Times New Roman" w:hAnsi="Times New Roman" w:cs="Times New Roman"/>
                <w:color w:val="000000"/>
              </w:rPr>
            </w:pPr>
            <w:r>
              <w:rPr>
                <w:rFonts w:cs="Times New Roman"/>
                <w:color w:val="000000"/>
              </w:rPr>
            </w:r>
          </w:p>
        </w:tc>
        <w:tc>
          <w:tcPr>
            <w:tcW w:w="5130" w:type="dxa"/>
            <w:tcBorders/>
          </w:tcPr>
          <w:p>
            <w:pPr>
              <w:pStyle w:val="Normal"/>
              <w:snapToGrid w:val="false"/>
              <w:rPr>
                <w:color w:val="000000"/>
                <w:sz w:val="20"/>
              </w:rPr>
            </w:pPr>
            <w:r>
              <w:rPr>
                <w:color w:val="000000"/>
                <w:sz w:val="20"/>
              </w:rPr>
            </w:r>
          </w:p>
        </w:tc>
        <w:tc>
          <w:tcPr>
            <w:tcW w:w="720" w:type="dxa"/>
            <w:tcBorders/>
          </w:tcPr>
          <w:p>
            <w:pPr>
              <w:pStyle w:val="Normal"/>
              <w:snapToGrid w:val="false"/>
              <w:ind w:start="-180" w:end="0"/>
              <w:rPr>
                <w:color w:val="000000"/>
                <w:sz w:val="20"/>
              </w:rPr>
            </w:pPr>
            <w:r>
              <w:rPr>
                <w:color w:val="000000"/>
                <w:sz w:val="20"/>
              </w:rPr>
            </w:r>
          </w:p>
        </w:tc>
        <w:tc>
          <w:tcPr>
            <w:tcW w:w="2880" w:type="dxa"/>
            <w:tcBorders/>
          </w:tcPr>
          <w:p>
            <w:pPr>
              <w:pStyle w:val="Normal"/>
              <w:snapToGrid w:val="false"/>
              <w:rPr>
                <w:color w:val="000000"/>
                <w:sz w:val="20"/>
              </w:rPr>
            </w:pPr>
            <w:r>
              <w:rPr>
                <w:color w:val="000000"/>
                <w:sz w:val="20"/>
              </w:rPr>
            </w:r>
          </w:p>
        </w:tc>
      </w:tr>
      <w:tr>
        <w:trPr>
          <w:trHeight w:val="500" w:hRule="exact"/>
        </w:trPr>
        <w:tc>
          <w:tcPr>
            <w:tcW w:w="808" w:type="dxa"/>
            <w:tcBorders>
              <w:bottom w:val="single" w:sz="12" w:space="0" w:color="000000"/>
            </w:tcBorders>
          </w:tcPr>
          <w:p>
            <w:pPr>
              <w:pStyle w:val="Normal"/>
              <w:ind w:start="-180" w:end="0"/>
              <w:jc w:val="end"/>
              <w:rPr/>
            </w:pPr>
            <w:r>
              <w:rPr>
                <w:color w:val="000000"/>
                <w:sz w:val="18"/>
              </w:rPr>
              <w:t>Subject</w:t>
            </w:r>
            <w:r>
              <w:rPr>
                <w:color w:val="000000"/>
              </w:rPr>
              <w:t>:</w:t>
            </w:r>
          </w:p>
        </w:tc>
        <w:tc>
          <w:tcPr>
            <w:tcW w:w="5130" w:type="dxa"/>
            <w:tcBorders>
              <w:bottom w:val="single" w:sz="12" w:space="0" w:color="000000"/>
            </w:tcBorders>
          </w:tcPr>
          <w:p>
            <w:pPr>
              <w:pStyle w:val="Subject"/>
              <w:rPr>
                <w:rFonts w:ascii="Times New Roman" w:hAnsi="Times New Roman" w:cs="Times New Roman"/>
                <w:color w:val="000000"/>
              </w:rPr>
            </w:pPr>
            <w:r>
              <w:rPr>
                <w:rFonts w:cs="Times New Roman" w:ascii="Times New Roman" w:hAnsi="Times New Roman"/>
                <w:color w:val="000000"/>
              </w:rPr>
              <w:t>Compliance Report for 2000</w:t>
            </w:r>
          </w:p>
        </w:tc>
        <w:tc>
          <w:tcPr>
            <w:tcW w:w="720" w:type="dxa"/>
            <w:tcBorders>
              <w:bottom w:val="single" w:sz="12" w:space="0" w:color="000000"/>
            </w:tcBorders>
          </w:tcPr>
          <w:p>
            <w:pPr>
              <w:pStyle w:val="Normal"/>
              <w:ind w:start="-180" w:end="0"/>
              <w:jc w:val="end"/>
              <w:rPr/>
            </w:pPr>
            <w:r>
              <w:rPr>
                <w:color w:val="000000"/>
                <w:sz w:val="18"/>
              </w:rPr>
              <w:t>Date</w:t>
            </w:r>
            <w:r>
              <w:rPr>
                <w:color w:val="000000"/>
              </w:rPr>
              <w:t>:</w:t>
            </w:r>
          </w:p>
        </w:tc>
        <w:tc>
          <w:tcPr>
            <w:tcW w:w="2880" w:type="dxa"/>
            <w:tcBorders>
              <w:bottom w:val="single" w:sz="12" w:space="0" w:color="000000"/>
            </w:tcBorders>
          </w:tcPr>
          <w:p>
            <w:pPr>
              <w:pStyle w:val="Date"/>
              <w:rPr>
                <w:rFonts w:ascii="Times New Roman" w:hAnsi="Times New Roman" w:cs="Times New Roman"/>
                <w:color w:val="000000"/>
              </w:rPr>
            </w:pPr>
            <w:r>
              <w:rPr>
                <w:rFonts w:cs="Times New Roman" w:ascii="Times New Roman" w:hAnsi="Times New Roman"/>
                <w:color w:val="000000"/>
              </w:rPr>
              <w:t>March 31, 2001</w:t>
            </w:r>
          </w:p>
        </w:tc>
      </w:tr>
    </w:tbl>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t>The Enron Transportation Services Company Compliance Committee, as documented by signature below, presents the attached report to include discussion of all pertinent requirements as detailed in the Enron Transportation Services Company Code of Business Conduct and related procedures.</w:t>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b/>
          <w:color w:val="000000"/>
          <w:sz w:val="24"/>
          <w:u w:val="single"/>
        </w:rPr>
        <w:t>TIME PERIOD</w:t>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t>This report covers those reportable events for the time period of January 1 through December 31, 2000.</w:t>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b/>
          <w:color w:val="000000"/>
          <w:sz w:val="24"/>
          <w:u w:val="single"/>
        </w:rPr>
        <w:t>REPORTED ENTITIES</w:t>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t>This report includes reportable events for those affiliates, which comprise the Enron Transportation Services Company  ("ETS" or the "Group").</w:t>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t>The Group was responsible for coordinating the activities of the following major subsidiaries or divisions of Enron Corp.</w:t>
      </w:r>
    </w:p>
    <w:p>
      <w:pPr>
        <w:pStyle w:val="Body"/>
        <w:jc w:val="both"/>
        <w:rPr>
          <w:rFonts w:ascii="Times New Roman" w:hAnsi="Times New Roman" w:cs="Times New Roman"/>
          <w:color w:val="000000"/>
          <w:sz w:val="24"/>
        </w:rPr>
      </w:pPr>
      <w:r>
        <w:rPr>
          <w:rFonts w:cs="Times New Roman" w:ascii="Times New Roman" w:hAnsi="Times New Roman"/>
          <w:color w:val="000000"/>
          <w:sz w:val="24"/>
        </w:rPr>
      </w:r>
    </w:p>
    <w:tbl>
      <w:tblPr>
        <w:tblW w:w="9180" w:type="dxa"/>
        <w:jc w:val="start"/>
        <w:tblInd w:w="738" w:type="dxa"/>
        <w:tblLayout w:type="fixed"/>
        <w:tblCellMar>
          <w:top w:w="0" w:type="dxa"/>
          <w:start w:w="108" w:type="dxa"/>
          <w:bottom w:w="0" w:type="dxa"/>
          <w:end w:w="108" w:type="dxa"/>
        </w:tblCellMar>
      </w:tblPr>
      <w:tblGrid>
        <w:gridCol w:w="4410"/>
        <w:gridCol w:w="4770"/>
      </w:tblGrid>
      <w:tr>
        <w:trPr/>
        <w:tc>
          <w:tcPr>
            <w:tcW w:w="4410" w:type="dxa"/>
            <w:tcBorders/>
          </w:tcPr>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Citrus Energy Services Inc.</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Gathering Company</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Operations Corp.</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Operations Services Corp.</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Permian Gathering Inc.</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Florida Gas Transmission Company</w:t>
            </w:r>
          </w:p>
          <w:p>
            <w:pPr>
              <w:pStyle w:val="Body"/>
              <w:rPr>
                <w:rFonts w:ascii="Times New Roman" w:hAnsi="Times New Roman" w:cs="Times New Roman"/>
                <w:color w:val="000000"/>
                <w:sz w:val="24"/>
              </w:rPr>
            </w:pPr>
            <w:r>
              <w:rPr>
                <w:rFonts w:cs="Times New Roman" w:ascii="Times New Roman" w:hAnsi="Times New Roman"/>
                <w:color w:val="000000"/>
                <w:sz w:val="24"/>
              </w:rPr>
            </w:r>
          </w:p>
        </w:tc>
        <w:tc>
          <w:tcPr>
            <w:tcW w:w="4770" w:type="dxa"/>
            <w:tcBorders/>
          </w:tcPr>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Gulf Coast Operations, div. of Enron Operations Corp.</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Northern Natural Gas Company</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OTS Division (div. Enron Operations Services Corp.)</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Transwestern Gathering Company</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Transwestern Pipeline Company</w:t>
            </w:r>
          </w:p>
        </w:tc>
      </w:tr>
    </w:tbl>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r>
        <w:br w:type="page"/>
      </w:r>
    </w:p>
    <w:p>
      <w:pPr>
        <w:pStyle w:val="Body"/>
        <w:rPr>
          <w:rFonts w:ascii="Times New Roman" w:hAnsi="Times New Roman" w:cs="Times New Roman"/>
          <w:color w:val="000000"/>
          <w:sz w:val="24"/>
        </w:rPr>
      </w:pPr>
      <w:r>
        <w:rPr>
          <w:rFonts w:cs="Times New Roman" w:ascii="Times New Roman" w:hAnsi="Times New Roman"/>
          <w:b/>
          <w:color w:val="000000"/>
          <w:sz w:val="24"/>
          <w:u w:val="single"/>
        </w:rPr>
        <w:t>DELEGATED RESPONSIBILITY</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t>The following personnel have been delegated the responsibility for accumulating, reporting, and documenting for record retention purposes the reportable events for the Group:</w:t>
      </w:r>
    </w:p>
    <w:p>
      <w:pPr>
        <w:pStyle w:val="Body"/>
        <w:rPr>
          <w:rFonts w:ascii="Times New Roman" w:hAnsi="Times New Roman" w:cs="Times New Roman"/>
          <w:color w:val="000000"/>
          <w:sz w:val="24"/>
        </w:rPr>
      </w:pPr>
      <w:r>
        <w:rPr>
          <w:rFonts w:cs="Times New Roman" w:ascii="Times New Roman" w:hAnsi="Times New Roman"/>
          <w:color w:val="000000"/>
          <w:sz w:val="24"/>
        </w:rPr>
      </w:r>
    </w:p>
    <w:tbl>
      <w:tblPr>
        <w:tblW w:w="7380" w:type="dxa"/>
        <w:jc w:val="start"/>
        <w:tblInd w:w="1368" w:type="dxa"/>
        <w:tblLayout w:type="fixed"/>
        <w:tblCellMar>
          <w:top w:w="0" w:type="dxa"/>
          <w:start w:w="108" w:type="dxa"/>
          <w:bottom w:w="0" w:type="dxa"/>
          <w:end w:w="108" w:type="dxa"/>
        </w:tblCellMar>
      </w:tblPr>
      <w:tblGrid>
        <w:gridCol w:w="540"/>
        <w:gridCol w:w="2250"/>
        <w:gridCol w:w="4590"/>
      </w:tblGrid>
      <w:tr>
        <w:trPr/>
        <w:tc>
          <w:tcPr>
            <w:tcW w:w="540" w:type="dxa"/>
            <w:tcBorders>
              <w:top w:val="single" w:sz="12" w:space="0" w:color="000000"/>
              <w:start w:val="single" w:sz="12" w:space="0" w:color="000000"/>
              <w:bottom w:val="single" w:sz="6" w:space="0" w:color="000000"/>
              <w:end w:val="single" w:sz="6" w:space="0" w:color="000000"/>
            </w:tcBorders>
          </w:tcPr>
          <w:p>
            <w:pPr>
              <w:pStyle w:val="Body"/>
              <w:snapToGrid w:val="false"/>
              <w:ind w:start="0" w:end="0"/>
              <w:rPr>
                <w:rFonts w:ascii="Times New Roman" w:hAnsi="Times New Roman" w:cs="Times New Roman"/>
                <w:color w:val="000000"/>
                <w:sz w:val="24"/>
              </w:rPr>
            </w:pPr>
            <w:r>
              <w:rPr>
                <w:rFonts w:cs="Times New Roman" w:ascii="Times New Roman" w:hAnsi="Times New Roman"/>
                <w:color w:val="000000"/>
                <w:sz w:val="24"/>
              </w:rPr>
            </w:r>
          </w:p>
        </w:tc>
        <w:tc>
          <w:tcPr>
            <w:tcW w:w="2250" w:type="dxa"/>
            <w:tcBorders>
              <w:top w:val="single" w:sz="12" w:space="0" w:color="000000"/>
              <w:start w:val="single" w:sz="6" w:space="0" w:color="000000"/>
              <w:bottom w:val="single" w:sz="6" w:space="0" w:color="000000"/>
              <w:end w:val="single" w:sz="6" w:space="0" w:color="000000"/>
            </w:tcBorders>
          </w:tcPr>
          <w:p>
            <w:pPr>
              <w:pStyle w:val="Body"/>
              <w:ind w:start="0" w:end="0"/>
              <w:jc w:val="center"/>
              <w:rPr>
                <w:rFonts w:ascii="Times New Roman" w:hAnsi="Times New Roman" w:cs="Times New Roman"/>
                <w:b/>
                <w:color w:val="000000"/>
                <w:sz w:val="24"/>
              </w:rPr>
            </w:pPr>
            <w:r>
              <w:rPr>
                <w:rFonts w:cs="Times New Roman" w:ascii="Times New Roman" w:hAnsi="Times New Roman"/>
                <w:b/>
                <w:color w:val="000000"/>
                <w:sz w:val="24"/>
              </w:rPr>
              <w:t>PERSON</w:t>
            </w:r>
          </w:p>
        </w:tc>
        <w:tc>
          <w:tcPr>
            <w:tcW w:w="4590" w:type="dxa"/>
            <w:tcBorders>
              <w:top w:val="single" w:sz="12" w:space="0" w:color="000000"/>
              <w:start w:val="single" w:sz="6" w:space="0" w:color="000000"/>
              <w:bottom w:val="single" w:sz="6" w:space="0" w:color="000000"/>
              <w:end w:val="single" w:sz="12" w:space="0" w:color="000000"/>
            </w:tcBorders>
          </w:tcPr>
          <w:p>
            <w:pPr>
              <w:pStyle w:val="Body"/>
              <w:ind w:start="0" w:end="0"/>
              <w:jc w:val="center"/>
              <w:rPr>
                <w:rFonts w:ascii="Times New Roman" w:hAnsi="Times New Roman" w:cs="Times New Roman"/>
                <w:b/>
                <w:color w:val="000000"/>
                <w:sz w:val="24"/>
              </w:rPr>
            </w:pPr>
            <w:r>
              <w:rPr>
                <w:rFonts w:cs="Times New Roman" w:ascii="Times New Roman" w:hAnsi="Times New Roman"/>
                <w:b/>
                <w:color w:val="000000"/>
                <w:sz w:val="24"/>
              </w:rPr>
              <w:t>RESPONSIBILITY</w:t>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rFonts w:ascii="Times New Roman" w:hAnsi="Times New Roman" w:cs="Times New Roman"/>
                <w:color w:val="000000"/>
                <w:sz w:val="24"/>
              </w:rPr>
            </w:pPr>
            <w:r>
              <w:rPr>
                <w:rFonts w:cs="Times New Roman" w:ascii="Times New Roman" w:hAnsi="Times New Roman"/>
                <w:color w:val="000000"/>
                <w:sz w:val="24"/>
              </w:rPr>
              <w:t>1.</w:t>
            </w:r>
          </w:p>
        </w:tc>
        <w:tc>
          <w:tcPr>
            <w:tcW w:w="2250" w:type="dxa"/>
            <w:tcBorders>
              <w:top w:val="single" w:sz="6" w:space="0" w:color="000000"/>
              <w:start w:val="single" w:sz="6" w:space="0" w:color="000000"/>
              <w:bottom w:val="single" w:sz="6" w:space="0" w:color="000000"/>
              <w:end w:val="single" w:sz="6" w:space="0" w:color="000000"/>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Michael P. Moran</w:t>
            </w:r>
          </w:p>
        </w:tc>
        <w:tc>
          <w:tcPr>
            <w:tcW w:w="4590" w:type="dxa"/>
            <w:tcBorders>
              <w:top w:val="single" w:sz="6" w:space="0" w:color="000000"/>
              <w:start w:val="single" w:sz="6" w:space="0" w:color="000000"/>
              <w:bottom w:val="single" w:sz="6" w:space="0" w:color="000000"/>
              <w:end w:val="single" w:sz="12" w:space="0" w:color="000000"/>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Reporting and Documentation</w:t>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rFonts w:ascii="Times New Roman" w:hAnsi="Times New Roman" w:cs="Times New Roman"/>
                <w:color w:val="000000"/>
                <w:sz w:val="24"/>
              </w:rPr>
            </w:pPr>
            <w:r>
              <w:rPr>
                <w:rFonts w:cs="Times New Roman" w:ascii="Times New Roman" w:hAnsi="Times New Roman"/>
                <w:color w:val="000000"/>
                <w:sz w:val="24"/>
              </w:rPr>
              <w:t>2.</w:t>
            </w:r>
          </w:p>
        </w:tc>
        <w:tc>
          <w:tcPr>
            <w:tcW w:w="2250" w:type="dxa"/>
            <w:tcBorders>
              <w:top w:val="single" w:sz="6" w:space="0" w:color="000000"/>
              <w:start w:val="single" w:sz="6" w:space="0" w:color="000000"/>
              <w:bottom w:val="single" w:sz="6" w:space="0" w:color="000000"/>
              <w:end w:val="single" w:sz="6" w:space="0" w:color="000000"/>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Michael P. Moran</w:t>
            </w:r>
          </w:p>
        </w:tc>
        <w:tc>
          <w:tcPr>
            <w:tcW w:w="4590" w:type="dxa"/>
            <w:tcBorders>
              <w:top w:val="single" w:sz="6" w:space="0" w:color="000000"/>
              <w:start w:val="single" w:sz="6" w:space="0" w:color="000000"/>
              <w:bottom w:val="single" w:sz="6" w:space="0" w:color="000000"/>
              <w:end w:val="single" w:sz="12" w:space="0" w:color="000000"/>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Annual Summary of Compliance Activities</w:t>
            </w:r>
          </w:p>
        </w:tc>
      </w:tr>
      <w:tr>
        <w:trPr/>
        <w:tc>
          <w:tcPr>
            <w:tcW w:w="540" w:type="dxa"/>
            <w:tcBorders>
              <w:top w:val="single" w:sz="6" w:space="0" w:color="000000"/>
              <w:start w:val="single" w:sz="12" w:space="0" w:color="000000"/>
              <w:bottom w:val="single" w:sz="12" w:space="0" w:color="000000"/>
              <w:end w:val="single" w:sz="6" w:space="0" w:color="000000"/>
            </w:tcBorders>
          </w:tcPr>
          <w:p>
            <w:pPr>
              <w:pStyle w:val="Body"/>
              <w:ind w:start="0" w:end="0"/>
              <w:jc w:val="center"/>
              <w:rPr>
                <w:rFonts w:ascii="Times New Roman" w:hAnsi="Times New Roman" w:cs="Times New Roman"/>
                <w:color w:val="000000"/>
                <w:sz w:val="24"/>
              </w:rPr>
            </w:pPr>
            <w:r>
              <w:rPr>
                <w:rFonts w:cs="Times New Roman" w:ascii="Times New Roman" w:hAnsi="Times New Roman"/>
                <w:color w:val="000000"/>
                <w:sz w:val="24"/>
              </w:rPr>
              <w:t>3.</w:t>
            </w:r>
          </w:p>
        </w:tc>
        <w:tc>
          <w:tcPr>
            <w:tcW w:w="2250" w:type="dxa"/>
            <w:tcBorders>
              <w:top w:val="single" w:sz="6" w:space="0" w:color="000000"/>
              <w:start w:val="single" w:sz="6" w:space="0" w:color="000000"/>
              <w:bottom w:val="single" w:sz="12" w:space="0" w:color="000000"/>
              <w:end w:val="single" w:sz="6" w:space="0" w:color="000000"/>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Michael P. Moran</w:t>
            </w:r>
          </w:p>
        </w:tc>
        <w:tc>
          <w:tcPr>
            <w:tcW w:w="4590" w:type="dxa"/>
            <w:tcBorders>
              <w:top w:val="single" w:sz="6" w:space="0" w:color="000000"/>
              <w:start w:val="single" w:sz="6" w:space="0" w:color="000000"/>
              <w:bottom w:val="single" w:sz="12" w:space="0" w:color="000000"/>
              <w:end w:val="single" w:sz="12" w:space="0" w:color="000000"/>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Review of Applicable Laws</w:t>
            </w:r>
          </w:p>
        </w:tc>
      </w:tr>
    </w:tbl>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jc w:val="both"/>
        <w:rPr>
          <w:rFonts w:ascii="Times New Roman" w:hAnsi="Times New Roman" w:cs="Times New Roman"/>
          <w:color w:val="000000"/>
          <w:sz w:val="24"/>
        </w:rPr>
      </w:pPr>
      <w:r>
        <w:rPr>
          <w:rFonts w:cs="Times New Roman" w:ascii="Times New Roman" w:hAnsi="Times New Roman"/>
          <w:color w:val="000000"/>
          <w:sz w:val="24"/>
        </w:rPr>
        <w:t>Please consolidate this report with those received from other Enron Corp. operating group Compliance Committees for presentation to Enron Corp.'s Compliance Officer and the Audit Committee of the Board of Directors.</w:t>
      </w:r>
    </w:p>
    <w:p>
      <w:pPr>
        <w:pStyle w:val="Body"/>
        <w:keepNext w:val="true"/>
        <w:keepLines/>
        <w:rPr>
          <w:rFonts w:ascii="Times New Roman" w:hAnsi="Times New Roman" w:cs="Times New Roman"/>
          <w:color w:val="000000"/>
          <w:sz w:val="24"/>
        </w:rPr>
      </w:pPr>
      <w:r>
        <w:rPr>
          <w:rFonts w:cs="Times New Roman" w:ascii="Times New Roman" w:hAnsi="Times New Roman"/>
          <w:color w:val="000000"/>
          <w:sz w:val="24"/>
        </w:rPr>
      </w:r>
    </w:p>
    <w:p>
      <w:pPr>
        <w:pStyle w:val="Body"/>
        <w:keepNext w:val="true"/>
        <w:keepLines/>
        <w:rPr>
          <w:rFonts w:ascii="Times New Roman" w:hAnsi="Times New Roman" w:cs="Times New Roman"/>
          <w:color w:val="000000"/>
          <w:sz w:val="24"/>
        </w:rPr>
      </w:pPr>
      <w:r>
        <w:rPr>
          <w:rFonts w:cs="Times New Roman" w:ascii="Times New Roman" w:hAnsi="Times New Roman"/>
          <w:color w:val="000000"/>
          <w:sz w:val="24"/>
        </w:rPr>
      </w:r>
    </w:p>
    <w:tbl>
      <w:tblPr>
        <w:tblW w:w="11250" w:type="dxa"/>
        <w:jc w:val="start"/>
        <w:tblInd w:w="468" w:type="dxa"/>
        <w:tblLayout w:type="fixed"/>
        <w:tblCellMar>
          <w:top w:w="0" w:type="dxa"/>
          <w:start w:w="108" w:type="dxa"/>
          <w:bottom w:w="0" w:type="dxa"/>
          <w:end w:w="108" w:type="dxa"/>
        </w:tblCellMar>
      </w:tblPr>
      <w:tblGrid>
        <w:gridCol w:w="4410"/>
        <w:gridCol w:w="6840"/>
      </w:tblGrid>
      <w:tr>
        <w:trPr/>
        <w:tc>
          <w:tcPr>
            <w:tcW w:w="4410" w:type="dxa"/>
            <w:tcBorders/>
          </w:tcPr>
          <w:p>
            <w:pPr>
              <w:pStyle w:val="Body"/>
              <w:keepNext w:val="true"/>
              <w:keepLines/>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keepNext w:val="true"/>
              <w:keepLines/>
              <w:ind w:start="0" w:end="0"/>
              <w:rPr>
                <w:rFonts w:ascii="Times New Roman" w:hAnsi="Times New Roman" w:cs="Times New Roman"/>
                <w:color w:val="000000"/>
                <w:sz w:val="24"/>
              </w:rPr>
            </w:pPr>
            <w:r>
              <w:rPr>
                <w:rFonts w:cs="Times New Roman" w:ascii="Times New Roman" w:hAnsi="Times New Roman"/>
                <w:color w:val="000000"/>
                <w:sz w:val="24"/>
              </w:rPr>
              <w:t>Stanley C. Horton</w:t>
            </w:r>
          </w:p>
          <w:p>
            <w:pPr>
              <w:pStyle w:val="Body"/>
              <w:keepNext w:val="true"/>
              <w:keepLines/>
              <w:ind w:start="0" w:end="0"/>
              <w:rPr>
                <w:rFonts w:ascii="Times New Roman" w:hAnsi="Times New Roman" w:cs="Times New Roman"/>
                <w:color w:val="000000"/>
                <w:sz w:val="24"/>
              </w:rPr>
            </w:pPr>
            <w:r>
              <w:rPr>
                <w:rFonts w:cs="Times New Roman" w:ascii="Times New Roman" w:hAnsi="Times New Roman"/>
                <w:color w:val="000000"/>
                <w:sz w:val="24"/>
              </w:rPr>
              <w:t>Chairman and CEO</w:t>
            </w:r>
          </w:p>
        </w:tc>
      </w:tr>
      <w:tr>
        <w:trPr/>
        <w:tc>
          <w:tcPr>
            <w:tcW w:w="4410" w:type="dxa"/>
            <w:tcBorders>
              <w:top w:val="single" w:sz="18" w:space="0" w:color="000000"/>
            </w:tcBorders>
          </w:tcPr>
          <w:p>
            <w:pPr>
              <w:pStyle w:val="Body"/>
              <w:keepNext w:val="true"/>
              <w:keepLines/>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keepNext w:val="true"/>
              <w:keepLines/>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r>
      <w:tr>
        <w:trPr/>
        <w:tc>
          <w:tcPr>
            <w:tcW w:w="4410" w:type="dxa"/>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E. G. Parks</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t>Senior Vice President, Finance</w:t>
            </w:r>
          </w:p>
        </w:tc>
      </w:tr>
      <w:tr>
        <w:trPr/>
        <w:tc>
          <w:tcPr>
            <w:tcW w:w="4410" w:type="dxa"/>
            <w:tcBorders>
              <w:top w:val="single" w:sz="18" w:space="0" w:color="000000"/>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r>
      <w:tr>
        <w:trPr/>
        <w:tc>
          <w:tcPr>
            <w:tcW w:w="4410" w:type="dxa"/>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John D. Schafer</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t xml:space="preserve">Vice President, Human Resources and Communications </w:t>
            </w:r>
          </w:p>
        </w:tc>
      </w:tr>
      <w:tr>
        <w:trPr/>
        <w:tc>
          <w:tcPr>
            <w:tcW w:w="4410" w:type="dxa"/>
            <w:tcBorders>
              <w:top w:val="single" w:sz="18" w:space="0" w:color="000000"/>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r>
      <w:tr>
        <w:trPr/>
        <w:tc>
          <w:tcPr>
            <w:tcW w:w="4410" w:type="dxa"/>
            <w:tcBorders>
              <w:bottom w:val="single" w:sz="18" w:space="0" w:color="000000"/>
            </w:tcBorders>
          </w:tcPr>
          <w:p>
            <w:pPr>
              <w:pStyle w:val="Body"/>
              <w:snapToGrid w:val="false"/>
              <w:ind w:start="0" w:end="0"/>
              <w:rPr>
                <w:rFonts w:ascii="Times New Roman" w:hAnsi="Times New Roman" w:cs="Times New Roman"/>
                <w:color w:val="000000"/>
                <w:sz w:val="24"/>
                <w:u w:val="single"/>
              </w:rPr>
            </w:pPr>
            <w:r>
              <w:rPr>
                <w:rFonts w:cs="Times New Roman" w:ascii="Times New Roman" w:hAnsi="Times New Roman"/>
                <w:color w:val="000000"/>
                <w:sz w:val="24"/>
                <w:u w:val="single"/>
              </w:rPr>
            </w:r>
          </w:p>
        </w:tc>
        <w:tc>
          <w:tcPr>
            <w:tcW w:w="6840" w:type="dxa"/>
            <w:tcBorders/>
          </w:tcPr>
          <w:p>
            <w:pPr>
              <w:pStyle w:val="Body"/>
              <w:ind w:start="0" w:end="0"/>
              <w:rPr>
                <w:rFonts w:ascii="Times New Roman" w:hAnsi="Times New Roman" w:cs="Times New Roman"/>
                <w:color w:val="000000"/>
                <w:sz w:val="24"/>
              </w:rPr>
            </w:pPr>
            <w:r>
              <w:rPr>
                <w:rFonts w:cs="Times New Roman" w:ascii="Times New Roman" w:hAnsi="Times New Roman"/>
                <w:color w:val="000000"/>
                <w:sz w:val="24"/>
              </w:rPr>
              <w:t>Michael P. Moran</w:t>
            </w:r>
          </w:p>
          <w:p>
            <w:pPr>
              <w:pStyle w:val="Body"/>
              <w:ind w:start="0" w:end="0"/>
              <w:rPr>
                <w:rFonts w:ascii="Times New Roman" w:hAnsi="Times New Roman" w:cs="Times New Roman"/>
                <w:color w:val="000000"/>
                <w:sz w:val="24"/>
              </w:rPr>
            </w:pPr>
            <w:r>
              <w:rPr>
                <w:rFonts w:cs="Times New Roman" w:ascii="Times New Roman" w:hAnsi="Times New Roman"/>
                <w:color w:val="000000"/>
                <w:sz w:val="24"/>
              </w:rPr>
              <w:t>Senior Vice President and General Counsel</w:t>
            </w:r>
          </w:p>
        </w:tc>
      </w:tr>
    </w:tbl>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color w:val="000000"/>
          <w:sz w:val="24"/>
        </w:rPr>
      </w:r>
    </w:p>
    <w:p>
      <w:pPr>
        <w:pStyle w:val="Normal"/>
        <w:rPr/>
      </w:pPr>
      <w:r>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/mnt/main-storage/datasets/enron-docs/doc/2000comp_memo1.doc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2001-01-24T12:53:00Z</dcterms:created>
  <dc:creator>..</dc:creator>
  <dc:description/>
  <dc:language>en-CA</dc:language>
  <cp:lastModifiedBy>william (bill) e. brown</cp:lastModifiedBy>
  <cp:lastPrinted>2001-01-24T09:29:00Z</cp:lastPrinted>
  <dcterms:modified xsi:type="dcterms:W3CDTF">2001-01-24T17:06:00Z</dcterms:modified>
  <cp:revision>4</cp:revision>
  <dc:subject/>
  <dc:title>To:	</dc:title>
</cp:coreProperties>
</file>