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June 19,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rFonts w:eastAsia="Courier 12pt"/>
          <w:sz w:val="24"/>
        </w:rPr>
        <w:t xml:space="preserve">  </w:t>
      </w:r>
      <w:r>
        <w:rPr>
          <w:sz w:val="24"/>
        </w:rPr>
        <w:t>To:  Natural Gas Suppliers</w:t>
      </w:r>
    </w:p>
    <w:p>
      <w:pPr>
        <w:pStyle w:val="Normal"/>
        <w:jc w:val="both"/>
        <w:rPr>
          <w:sz w:val="24"/>
        </w:rPr>
      </w:pPr>
      <w:r>
        <w:rPr>
          <w:sz w:val="24"/>
        </w:rPr>
        <w:t>From:  Southwest Gas Corporation</w:t>
      </w:r>
    </w:p>
    <w:p>
      <w:pPr>
        <w:pStyle w:val="Normal"/>
        <w:jc w:val="both"/>
        <w:rPr>
          <w:sz w:val="24"/>
        </w:rPr>
      </w:pPr>
      <w:r>
        <w:rPr>
          <w:rFonts w:eastAsia="Courier 12pt"/>
          <w:sz w:val="24"/>
        </w:rPr>
        <w:t xml:space="preserve">  </w:t>
      </w:r>
      <w:r>
        <w:rPr>
          <w:sz w:val="24"/>
        </w:rPr>
        <w:t>Re:  2000 Firm Gas Supply Bid Solicitation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Southwest Gas Corporation ("SWG") is soliciting proposals for firm supplies of natural gas to meet its market requirements in its various jurisdictional service areas, which are as follows:</w:t>
      </w:r>
    </w:p>
    <w:p>
      <w:pPr>
        <w:pStyle w:val="Normal"/>
        <w:jc w:val="both"/>
        <w:rPr>
          <w:sz w:val="24"/>
        </w:rPr>
      </w:pPr>
      <w:r>
        <w:rPr>
          <w:sz w:val="24"/>
        </w:rPr>
      </w:r>
    </w:p>
    <w:p>
      <w:pPr>
        <w:pStyle w:val="Normal"/>
        <w:jc w:val="both"/>
        <w:rPr>
          <w:sz w:val="24"/>
        </w:rPr>
      </w:pPr>
      <w:r>
        <w:rPr>
          <w:sz w:val="24"/>
        </w:rPr>
        <w:tab/>
        <w:t>1.</w:t>
        <w:tab/>
        <w:t>Arizona</w:t>
      </w:r>
    </w:p>
    <w:p>
      <w:pPr>
        <w:pStyle w:val="Normal"/>
        <w:jc w:val="both"/>
        <w:rPr>
          <w:sz w:val="24"/>
        </w:rPr>
      </w:pPr>
      <w:r>
        <w:rPr>
          <w:sz w:val="24"/>
        </w:rPr>
        <w:tab/>
        <w:t>2.</w:t>
        <w:tab/>
        <w:t>Southern Nevada</w:t>
      </w:r>
    </w:p>
    <w:p>
      <w:pPr>
        <w:pStyle w:val="Normal"/>
        <w:jc w:val="both"/>
        <w:rPr>
          <w:sz w:val="24"/>
        </w:rPr>
      </w:pPr>
      <w:r>
        <w:rPr>
          <w:sz w:val="24"/>
        </w:rPr>
        <w:tab/>
        <w:t>3.</w:t>
        <w:tab/>
        <w:t>Northern Nevada</w:t>
      </w:r>
    </w:p>
    <w:p>
      <w:pPr>
        <w:pStyle w:val="Normal"/>
        <w:jc w:val="both"/>
        <w:rPr>
          <w:sz w:val="24"/>
        </w:rPr>
      </w:pPr>
      <w:r>
        <w:rPr>
          <w:sz w:val="24"/>
        </w:rPr>
        <w:tab/>
        <w:t>4.</w:t>
        <w:tab/>
        <w:t>Northern California</w:t>
      </w:r>
    </w:p>
    <w:p>
      <w:pPr>
        <w:pStyle w:val="Normal"/>
        <w:jc w:val="both"/>
        <w:rPr>
          <w:sz w:val="24"/>
        </w:rPr>
      </w:pPr>
      <w:r>
        <w:rPr>
          <w:sz w:val="24"/>
        </w:rPr>
        <w:tab/>
        <w:t>5.</w:t>
        <w:tab/>
        <w:t>Southern California</w:t>
      </w:r>
    </w:p>
    <w:p>
      <w:pPr>
        <w:pStyle w:val="Normal"/>
        <w:jc w:val="both"/>
        <w:rPr>
          <w:sz w:val="24"/>
        </w:rPr>
      </w:pPr>
      <w:r>
        <w:rPr>
          <w:sz w:val="24"/>
        </w:rPr>
      </w:r>
    </w:p>
    <w:p>
      <w:pPr>
        <w:pStyle w:val="Normal"/>
        <w:jc w:val="both"/>
        <w:rPr>
          <w:sz w:val="24"/>
        </w:rPr>
      </w:pPr>
      <w:r>
        <w:rPr>
          <w:sz w:val="24"/>
        </w:rPr>
        <w:t>Separate firm supply portfolios will be selected for each such area.  SWG's objective is to acquire gas supplies at competitive prices with flexibility of take provisions sufficient to match the fluctuating demands in each market area.  Illustrative supply proposals are outlined below.</w:t>
      </w:r>
    </w:p>
    <w:p>
      <w:pPr>
        <w:pStyle w:val="Normal"/>
        <w:jc w:val="both"/>
        <w:rPr>
          <w:sz w:val="24"/>
        </w:rPr>
      </w:pPr>
      <w:r>
        <w:rPr>
          <w:sz w:val="24"/>
        </w:rPr>
      </w:r>
    </w:p>
    <w:p>
      <w:pPr>
        <w:pStyle w:val="Normal"/>
        <w:jc w:val="both"/>
        <w:rPr>
          <w:sz w:val="24"/>
        </w:rPr>
      </w:pPr>
      <w:r>
        <w:rPr>
          <w:b/>
          <w:sz w:val="24"/>
          <w:u w:val="single"/>
        </w:rPr>
        <w:t>GENERAL CONTRACT TYPES (EXAMPLES)</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sz w:val="24"/>
        </w:rPr>
      </w:pPr>
      <w:r>
        <w:rPr>
          <w:sz w:val="24"/>
        </w:rPr>
        <w:t>BASELOAD:</w:t>
        <w:tab/>
        <w:tab/>
        <w:t>Fixed volume purchases.</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sz w:val="24"/>
        </w:rPr>
      </w:pPr>
      <w:r>
        <w:rPr>
          <w:sz w:val="24"/>
        </w:rPr>
        <w:t>FLEX:</w:t>
        <w:tab/>
        <w:tab/>
        <w:tab/>
        <w:t>Flexible volumes which may be subject to gas inventory charge ("GIC") for volumes not taken.</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sz w:val="24"/>
        </w:rPr>
      </w:pPr>
      <w:r>
        <w:rPr>
          <w:sz w:val="24"/>
        </w:rPr>
        <w:t>SWING:</w:t>
        <w:tab/>
        <w:tab/>
        <w:t>Daily swing volume with no minimum take obligation.</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sz w:val="24"/>
        </w:rPr>
      </w:pPr>
      <w:r>
        <w:rPr>
          <w:sz w:val="24"/>
        </w:rPr>
        <w:t>BASE+SWING:</w:t>
        <w:tab/>
        <w:t>BASELOAD volume plus SWING volume.</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sz w:val="24"/>
        </w:rPr>
      </w:pPr>
      <w:r>
        <w:rPr>
          <w:sz w:val="24"/>
        </w:rPr>
        <w:t>FLEX+SWING:</w:t>
        <w:tab/>
        <w:t>FLEX volume plus SWING volume.</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sz w:val="24"/>
        </w:rPr>
      </w:pPr>
      <w:r>
        <w:rPr>
          <w:sz w:val="24"/>
        </w:rPr>
        <w:t>COND-PEAKER:</w:t>
        <w:tab/>
        <w:t>Winter-only, conditional SWING volume which SWG can nominate only after daily nominations reach a certain, predetermined level.</w:t>
      </w:r>
      <w:r>
        <w:rPr>
          <w:b/>
          <w:sz w:val="24"/>
        </w:rPr>
        <w:t xml:space="preserve">  Supplier non-performance on any day for any reason will require a proportionate reduction in any contract demand charges.</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pPr>
      <w:r>
        <w:rPr>
          <w:sz w:val="24"/>
        </w:rPr>
        <w:t>BUND-PEAKER:</w:t>
        <w:tab/>
        <w:t xml:space="preserve">Winter-only, SWING volume purchased </w:t>
      </w:r>
      <w:r>
        <w:rPr>
          <w:b/>
          <w:sz w:val="24"/>
        </w:rPr>
        <w:t>BUNDLED WITH FIRM TRANSPORTATION (Specifically, at a Southern Nevada SWG CITY GATE</w:t>
      </w:r>
      <w:r>
        <w:rPr>
          <w:sz w:val="24"/>
        </w:rPr>
        <w:t>) for requirements that exceed SWG's own firm pipeline capacity.</w:t>
      </w:r>
    </w:p>
    <w:p>
      <w:pPr>
        <w:pStyle w:val="Normal"/>
        <w:jc w:val="both"/>
        <w:rPr>
          <w:sz w:val="24"/>
        </w:rPr>
      </w:pPr>
      <w:r>
        <w:rPr>
          <w:b/>
          <w:sz w:val="24"/>
          <w:u w:val="single"/>
        </w:rPr>
        <w:t>GENERAL PRICING PROVISIONS</w:t>
      </w:r>
    </w:p>
    <w:p>
      <w:pPr>
        <w:pStyle w:val="Normal"/>
        <w:jc w:val="both"/>
        <w:rPr>
          <w:sz w:val="24"/>
        </w:rPr>
      </w:pPr>
      <w:r>
        <w:rPr>
          <w:sz w:val="24"/>
        </w:rPr>
      </w:r>
    </w:p>
    <w:p>
      <w:pPr>
        <w:pStyle w:val="Normal"/>
        <w:jc w:val="both"/>
        <w:rPr/>
      </w:pPr>
      <w:r>
        <w:rPr>
          <w:sz w:val="24"/>
        </w:rPr>
        <w:t xml:space="preserve">Various pricing scenarios will be considered.  </w:t>
      </w:r>
      <w:r>
        <w:rPr>
          <w:b/>
          <w:sz w:val="24"/>
          <w:u w:val="single"/>
        </w:rPr>
        <w:t>HOWEVER, for this solicitation, ONLY index-related prices will be accepted.</w:t>
      </w:r>
      <w:r>
        <w:rPr>
          <w:sz w:val="24"/>
        </w:rPr>
        <w:t xml:space="preserve">  All fixed-price and/or futures-related price proposals will be solicited and evaluated at different times and separate from this process.</w:t>
      </w:r>
    </w:p>
    <w:p>
      <w:pPr>
        <w:pStyle w:val="Normal"/>
        <w:jc w:val="both"/>
        <w:rPr>
          <w:sz w:val="24"/>
        </w:rPr>
      </w:pPr>
      <w:r>
        <w:rPr>
          <w:sz w:val="24"/>
        </w:rPr>
      </w:r>
    </w:p>
    <w:p>
      <w:pPr>
        <w:pStyle w:val="Normal"/>
        <w:jc w:val="both"/>
        <w:rPr>
          <w:sz w:val="24"/>
        </w:rPr>
      </w:pPr>
      <w:r>
        <w:rPr>
          <w:b/>
          <w:sz w:val="24"/>
          <w:u w:val="single"/>
        </w:rPr>
        <w:t>GENERAL TRANSPORTATION CONDITIONS</w:t>
      </w:r>
    </w:p>
    <w:p>
      <w:pPr>
        <w:pStyle w:val="Normal"/>
        <w:jc w:val="both"/>
        <w:rPr>
          <w:sz w:val="24"/>
        </w:rPr>
      </w:pPr>
      <w:r>
        <w:rPr>
          <w:sz w:val="24"/>
        </w:rPr>
      </w:r>
    </w:p>
    <w:p>
      <w:pPr>
        <w:pStyle w:val="Normal"/>
        <w:jc w:val="both"/>
        <w:rPr>
          <w:sz w:val="24"/>
        </w:rPr>
      </w:pPr>
      <w:r>
        <w:rPr>
          <w:sz w:val="24"/>
        </w:rPr>
        <w:t>Seller is required to provide firm service upstream of the delivery point to SWG.  Failure to deliver nominated volumes due to constraints to interruptible or "bumped" upstream service will not constitute "Force Majeure" protection, the exception being EPNG pooling contracts, all of which are considered as interruptible by the pipeline.  Daily nomination requirements will be as required by the transporting pipeline receiving gas for SWG at the delivery point.</w:t>
      </w:r>
    </w:p>
    <w:p>
      <w:pPr>
        <w:pStyle w:val="Normal"/>
        <w:jc w:val="both"/>
        <w:rPr>
          <w:sz w:val="24"/>
        </w:rPr>
      </w:pPr>
      <w:r>
        <w:rPr>
          <w:sz w:val="24"/>
        </w:rPr>
      </w:r>
    </w:p>
    <w:p>
      <w:pPr>
        <w:pStyle w:val="Normal"/>
        <w:jc w:val="both"/>
        <w:rPr/>
      </w:pPr>
      <w:r>
        <w:rPr>
          <w:sz w:val="24"/>
          <w:u w:val="single"/>
        </w:rPr>
        <w:t>Points of Delivery</w:t>
      </w:r>
      <w:r>
        <w:rPr>
          <w:sz w:val="24"/>
        </w:rPr>
        <w:t>:</w:t>
      </w:r>
    </w:p>
    <w:p>
      <w:pPr>
        <w:pStyle w:val="Normal"/>
        <w:jc w:val="both"/>
        <w:rPr>
          <w:sz w:val="24"/>
        </w:rPr>
      </w:pPr>
      <w:r>
        <w:rPr>
          <w:sz w:val="24"/>
        </w:rPr>
      </w:r>
    </w:p>
    <w:p>
      <w:pPr>
        <w:pStyle w:val="Normal"/>
        <w:tabs>
          <w:tab w:val="left" w:pos="720" w:leader="none"/>
        </w:tabs>
        <w:ind w:hanging="720" w:start="720" w:end="0"/>
        <w:jc w:val="both"/>
        <w:rPr>
          <w:sz w:val="24"/>
        </w:rPr>
      </w:pPr>
      <w:r>
        <w:rPr>
          <w:sz w:val="24"/>
        </w:rPr>
        <w:t>A.</w:t>
        <w:tab/>
        <w:t>Except for BUND-PEAKER arrangements at Southern Nevada City Gates, all mainline receipt points on El Paso Natural Gas Company (El Paso), Kern River Gas Transmission Company (Kern), and Southern California Gas Company (SoCal), and all major mainline receipt points on Northwest Pipeline Company (Northwest), will be considered as delivery points for gas purchased by SWG.  However, SWG's ability to establish primary firm receipt point rights on Kern and Northwest may determine its ability to make firm purchase obligations at any specific point on those facilities.  Seller must provide firm upstream transportation for California border sales.</w:t>
      </w:r>
    </w:p>
    <w:p>
      <w:pPr>
        <w:pStyle w:val="Normal"/>
        <w:jc w:val="both"/>
        <w:rPr>
          <w:sz w:val="24"/>
        </w:rPr>
      </w:pPr>
      <w:r>
        <w:rPr>
          <w:sz w:val="24"/>
        </w:rPr>
      </w:r>
    </w:p>
    <w:p>
      <w:pPr>
        <w:pStyle w:val="Normal"/>
        <w:tabs>
          <w:tab w:val="left" w:pos="720" w:leader="none"/>
        </w:tabs>
        <w:ind w:hanging="720" w:start="720" w:end="0"/>
        <w:jc w:val="both"/>
        <w:rPr>
          <w:sz w:val="24"/>
        </w:rPr>
      </w:pPr>
      <w:r>
        <w:rPr>
          <w:sz w:val="24"/>
        </w:rPr>
        <w:t>B.</w:t>
        <w:tab/>
        <w:t>Sellers must identify the pipeline receipt point or pooling area for each bid.</w:t>
      </w:r>
    </w:p>
    <w:p>
      <w:pPr>
        <w:pStyle w:val="Normal"/>
        <w:jc w:val="both"/>
        <w:rPr>
          <w:sz w:val="24"/>
        </w:rPr>
      </w:pPr>
      <w:r>
        <w:rPr>
          <w:sz w:val="24"/>
        </w:rPr>
      </w:r>
    </w:p>
    <w:p>
      <w:pPr>
        <w:pStyle w:val="Normal"/>
        <w:jc w:val="both"/>
        <w:rPr>
          <w:sz w:val="24"/>
        </w:rPr>
      </w:pPr>
      <w:r>
        <w:rPr>
          <w:b/>
          <w:sz w:val="24"/>
          <w:u w:val="single"/>
        </w:rPr>
        <w:t>GENERAL TERM CONSIDERATIONS</w:t>
      </w:r>
    </w:p>
    <w:p>
      <w:pPr>
        <w:pStyle w:val="Normal"/>
        <w:jc w:val="both"/>
        <w:rPr>
          <w:sz w:val="24"/>
        </w:rPr>
      </w:pPr>
      <w:r>
        <w:rPr>
          <w:sz w:val="24"/>
        </w:rPr>
      </w:r>
    </w:p>
    <w:p>
      <w:pPr>
        <w:pStyle w:val="Normal"/>
        <w:jc w:val="both"/>
        <w:rPr>
          <w:sz w:val="24"/>
        </w:rPr>
      </w:pPr>
      <w:r>
        <w:rPr>
          <w:sz w:val="24"/>
        </w:rPr>
        <w:t>SWG seeks proposals for purchases of varying volumes for purchase periods ranging from one to twelve months, with the earliest purchases to begin November 1, 2000.  Proposals may incorporate any purchase period within the November 1st-October 31st annual period and may cover one or more annual periods.</w:t>
      </w:r>
    </w:p>
    <w:p>
      <w:pPr>
        <w:pStyle w:val="Normal"/>
        <w:jc w:val="both"/>
        <w:rPr>
          <w:sz w:val="24"/>
        </w:rPr>
      </w:pPr>
      <w:r>
        <w:rPr>
          <w:sz w:val="24"/>
        </w:rPr>
      </w:r>
    </w:p>
    <w:p>
      <w:pPr>
        <w:pStyle w:val="Normal"/>
        <w:jc w:val="both"/>
        <w:rPr>
          <w:sz w:val="24"/>
        </w:rPr>
      </w:pPr>
      <w:r>
        <w:rPr>
          <w:b/>
          <w:sz w:val="24"/>
          <w:u w:val="single"/>
        </w:rPr>
        <w:t>GENERAL VOLUME CONSIDERATIONS</w:t>
      </w:r>
    </w:p>
    <w:p>
      <w:pPr>
        <w:pStyle w:val="Normal"/>
        <w:jc w:val="both"/>
        <w:rPr>
          <w:sz w:val="24"/>
        </w:rPr>
      </w:pPr>
      <w:r>
        <w:rPr>
          <w:sz w:val="24"/>
        </w:rPr>
      </w:r>
    </w:p>
    <w:p>
      <w:pPr>
        <w:pStyle w:val="Normal"/>
        <w:jc w:val="both"/>
        <w:rPr>
          <w:sz w:val="24"/>
        </w:rPr>
      </w:pPr>
      <w:r>
        <w:rPr>
          <w:sz w:val="24"/>
        </w:rPr>
        <w:t xml:space="preserve">Daily contract quantities of 10,000 to 50,000 MMBtu/Day are preferred for Arizona and Southern Nevada.  Daily contract quantities of 2,000 MMBtu/Day to 10,000 MMBtu/Day are preferred for Northern Nevada, Northern California, and Southern California.  </w:t>
      </w:r>
    </w:p>
    <w:p>
      <w:pPr>
        <w:pStyle w:val="Normal"/>
        <w:jc w:val="both"/>
        <w:rPr>
          <w:b/>
          <w:sz w:val="24"/>
        </w:rPr>
      </w:pPr>
      <w:r>
        <w:rPr>
          <w:b/>
          <w:sz w:val="24"/>
        </w:rPr>
        <w:t>The above general provisions are provided ONLY as suggested guidelines to meet the supply requirements of SWG.  However, SWG encourages innovative approaches to structuring gas supply arrangements.</w:t>
      </w:r>
    </w:p>
    <w:p>
      <w:pPr>
        <w:pStyle w:val="Normal"/>
        <w:jc w:val="both"/>
        <w:rPr>
          <w:b/>
          <w:sz w:val="24"/>
        </w:rPr>
      </w:pPr>
      <w:r>
        <w:rPr>
          <w:b/>
          <w:sz w:val="24"/>
        </w:rPr>
      </w:r>
    </w:p>
    <w:p>
      <w:pPr>
        <w:pStyle w:val="Normal"/>
        <w:jc w:val="both"/>
        <w:rPr>
          <w:sz w:val="24"/>
        </w:rPr>
      </w:pPr>
      <w:r>
        <w:rPr>
          <w:sz w:val="24"/>
        </w:rPr>
        <w:t>All bids will be held confidential by SWG except where disclosure is required during the course of a proceeding or filing before a court or regulatory agency or other governmental entity exercising jurisdiction.</w:t>
      </w:r>
    </w:p>
    <w:p>
      <w:pPr>
        <w:pStyle w:val="Normal"/>
        <w:jc w:val="both"/>
        <w:rPr>
          <w:sz w:val="24"/>
        </w:rPr>
      </w:pPr>
      <w:r>
        <w:rPr>
          <w:sz w:val="24"/>
        </w:rPr>
      </w:r>
    </w:p>
    <w:p>
      <w:pPr>
        <w:pStyle w:val="Normal"/>
        <w:jc w:val="both"/>
        <w:rPr>
          <w:sz w:val="24"/>
        </w:rPr>
      </w:pPr>
      <w:r>
        <w:rPr>
          <w:sz w:val="24"/>
        </w:rPr>
        <w:t>This letter does not constitute an offer to purchase and SWG reserves the right to reject any and all proposals submitted.  Suppliers whose bids are selected for contracting by SWG will be required to warrant supply obligations with liquidated damages for nonperformance equal to the greater of (a) fifty cents (50¢) per MMBtu or (b) replacement cost based on a published daily price, plus any pipeline over-pull penalties incurred.  Those selected may also be required to provide current financial information regarding their company, including audited financial statements or other assurances acceptable to SWG.</w:t>
      </w:r>
    </w:p>
    <w:p>
      <w:pPr>
        <w:pStyle w:val="Normal"/>
        <w:jc w:val="both"/>
        <w:rPr>
          <w:sz w:val="24"/>
        </w:rPr>
      </w:pPr>
      <w:r>
        <w:rPr>
          <w:sz w:val="24"/>
        </w:rPr>
      </w:r>
    </w:p>
    <w:p>
      <w:pPr>
        <w:pStyle w:val="Normal"/>
        <w:jc w:val="both"/>
        <w:rPr>
          <w:sz w:val="24"/>
        </w:rPr>
      </w:pPr>
      <w:r>
        <w:rPr>
          <w:sz w:val="24"/>
        </w:rPr>
        <w:t>Any questions concerning this solicitation should be addressed to:</w:t>
      </w:r>
    </w:p>
    <w:p>
      <w:pPr>
        <w:pStyle w:val="Normal"/>
        <w:jc w:val="both"/>
        <w:rPr>
          <w:sz w:val="24"/>
        </w:rPr>
      </w:pPr>
      <w:r>
        <w:rPr>
          <w:sz w:val="24"/>
        </w:rPr>
      </w:r>
    </w:p>
    <w:p>
      <w:pPr>
        <w:pStyle w:val="Normal"/>
        <w:jc w:val="both"/>
        <w:rPr>
          <w:sz w:val="24"/>
        </w:rPr>
      </w:pPr>
      <w:r>
        <w:rPr>
          <w:sz w:val="24"/>
        </w:rPr>
        <w:tab/>
        <w:tab/>
        <w:tab/>
        <w:t>Southwest Gas Corporation</w:t>
      </w:r>
    </w:p>
    <w:p>
      <w:pPr>
        <w:pStyle w:val="Normal"/>
        <w:jc w:val="both"/>
        <w:rPr>
          <w:sz w:val="24"/>
        </w:rPr>
      </w:pPr>
      <w:r>
        <w:rPr>
          <w:sz w:val="24"/>
        </w:rPr>
        <w:tab/>
        <w:tab/>
        <w:tab/>
        <w:t>P.O. Box 98510</w:t>
      </w:r>
    </w:p>
    <w:p>
      <w:pPr>
        <w:pStyle w:val="Normal"/>
        <w:jc w:val="both"/>
        <w:rPr>
          <w:sz w:val="24"/>
        </w:rPr>
      </w:pPr>
      <w:r>
        <w:rPr>
          <w:sz w:val="24"/>
        </w:rPr>
        <w:tab/>
        <w:tab/>
        <w:tab/>
        <w:t>Las Vegas, Nevada  89193-8510</w:t>
      </w:r>
    </w:p>
    <w:p>
      <w:pPr>
        <w:pStyle w:val="Normal"/>
        <w:jc w:val="both"/>
        <w:rPr>
          <w:sz w:val="24"/>
        </w:rPr>
      </w:pPr>
      <w:r>
        <w:rPr>
          <w:sz w:val="24"/>
        </w:rPr>
        <w:tab/>
        <w:tab/>
        <w:tab/>
        <w:t>Attention: Bill Brown</w:t>
      </w:r>
    </w:p>
    <w:p>
      <w:pPr>
        <w:pStyle w:val="Normal"/>
        <w:jc w:val="both"/>
        <w:rPr>
          <w:sz w:val="24"/>
        </w:rPr>
      </w:pPr>
      <w:r>
        <w:rPr>
          <w:sz w:val="24"/>
        </w:rPr>
        <w:tab/>
        <w:tab/>
        <w:tab/>
        <w:t>Tel Number:  702/876-7136</w:t>
      </w:r>
    </w:p>
    <w:p>
      <w:pPr>
        <w:pStyle w:val="Normal"/>
        <w:jc w:val="both"/>
        <w:rPr>
          <w:sz w:val="24"/>
        </w:rPr>
      </w:pPr>
      <w:r>
        <w:rPr>
          <w:sz w:val="24"/>
        </w:rPr>
        <w:tab/>
        <w:tab/>
        <w:tab/>
        <w:t>Fax Number:  702/253-7084 or 702/873-3820</w:t>
      </w:r>
    </w:p>
    <w:p>
      <w:pPr>
        <w:pStyle w:val="Normal"/>
        <w:jc w:val="both"/>
        <w:rPr>
          <w:sz w:val="24"/>
        </w:rPr>
      </w:pPr>
      <w:r>
        <w:rPr>
          <w:sz w:val="24"/>
        </w:rPr>
      </w:r>
    </w:p>
    <w:p>
      <w:pPr>
        <w:pStyle w:val="Normal"/>
        <w:jc w:val="both"/>
        <w:rPr/>
      </w:pPr>
      <w:r>
        <w:rPr>
          <w:b/>
          <w:sz w:val="24"/>
        </w:rPr>
        <w:t>In order to expedite the bidding and selection process, SWG will not provide hard copy bid sheets or accept hard copy bids this year, except on an emergency basis.</w:t>
      </w:r>
      <w:r>
        <w:rPr>
          <w:sz w:val="24"/>
        </w:rPr>
        <w:t xml:space="preserve">  SWG intends to provide a copy of this bid letter and bid instructions in electronic form and to receive bid proposals in electronic form.  This year’s bid program will be housed on an interactive web site that will receive a bid immediately after it has been submitted.  To gain access to this site, you must have a valid user id and password, provided by SWG.  </w:t>
      </w:r>
      <w:r>
        <w:rPr>
          <w:b/>
          <w:sz w:val="24"/>
        </w:rPr>
        <w:t>Also, we have limited the number of bids that a company can submit--80 bids total</w:t>
      </w:r>
      <w:r>
        <w:rPr>
          <w:sz w:val="24"/>
        </w:rPr>
        <w:t>.  You must coordinate with your other offices to ensure you do not exceed this limit.  Your participation and cooperation makes this or any bid process work.  SWG continues to work on newer and better methods of handling bids with the use of electronic data.  We appreciate your views of the process and encourage you to provide us with your comments and suggestions as we develop methods for the future.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We look forward to working with you on Southwest's 2000/01 term supply portfolios.</w:t>
      </w:r>
    </w:p>
    <w:p>
      <w:pPr>
        <w:pStyle w:val="Normal"/>
        <w:jc w:val="both"/>
        <w:rPr>
          <w:rFonts w:eastAsia="Courier 12pt"/>
        </w:rPr>
      </w:pPr>
      <w:r>
        <w:rPr>
          <w:rFonts w:eastAsia="Courier 12pt"/>
        </w:rPr>
        <w:t xml:space="preserve"> </w:t>
      </w:r>
      <w:r>
        <w:br w:type="page"/>
      </w:r>
    </w:p>
    <w:p>
      <w:pPr>
        <w:pStyle w:val="Normal"/>
        <w:jc w:val="both"/>
        <w:rPr/>
      </w:pPr>
      <w:r>
        <w:rPr/>
      </w:r>
    </w:p>
    <w:p>
      <w:pPr>
        <w:pStyle w:val="Heading"/>
        <w:rPr/>
      </w:pPr>
      <w:r>
        <w:rPr/>
        <w:t>Instructions on Accessing Bid Program</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 xml:space="preserve">Log onto the following Web site:  </w:t>
      </w:r>
      <w:r>
        <w:rPr>
          <w:rStyle w:val="Hyperlink"/>
          <w:rFonts w:cs="Arial" w:ascii="Arial" w:hAnsi="Arial"/>
          <w:b/>
          <w:sz w:val="24"/>
        </w:rPr>
        <w:t>www.swgas.com/gasbids2000</w:t>
      </w:r>
    </w:p>
    <w:p>
      <w:pPr>
        <w:pStyle w:val="Normal"/>
        <w:jc w:val="both"/>
        <w:rPr>
          <w:rFonts w:ascii="Arial" w:hAnsi="Arial" w:cs="Arial"/>
          <w:b/>
          <w:sz w:val="24"/>
        </w:rPr>
      </w:pPr>
      <w:r>
        <w:rPr>
          <w:rFonts w:cs="Arial" w:ascii="Arial" w:hAnsi="Arial"/>
          <w:b/>
          <w:sz w:val="24"/>
        </w:rPr>
      </w:r>
    </w:p>
    <w:p>
      <w:pPr>
        <w:pStyle w:val="Normal"/>
        <w:numPr>
          <w:ilvl w:val="0"/>
          <w:numId w:val="1"/>
        </w:numPr>
        <w:jc w:val="both"/>
        <w:rPr>
          <w:rFonts w:ascii="Arial" w:hAnsi="Arial" w:cs="Arial"/>
          <w:sz w:val="24"/>
        </w:rPr>
      </w:pPr>
      <w:r>
        <w:rPr>
          <w:rFonts w:cs="Arial" w:ascii="Arial" w:hAnsi="Arial"/>
          <w:b/>
          <w:sz w:val="24"/>
        </w:rPr>
        <w:t>Download the Citrix neighborhood software onto your desktop</w:t>
      </w:r>
      <w:r>
        <w:rPr>
          <w:rFonts w:cs="Arial" w:ascii="Arial" w:hAnsi="Arial"/>
          <w:sz w:val="24"/>
        </w:rPr>
        <w:t>.</w:t>
      </w:r>
    </w:p>
    <w:p>
      <w:pPr>
        <w:pStyle w:val="BodyTextIndent"/>
        <w:rPr/>
      </w:pPr>
      <w:r>
        <w:rPr/>
        <w:t xml:space="preserve">Click on Netscape and lick through the screens, make sure you select the English version of the download.  Remember where you save wfplug32.exe.  Note, you will need to log out of the Netscape browser in order to install wfplug32.exe onto your desktop.  Using explorer, you can locate the wfplug32.exe file and execute it.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After wfplug32.exe has been executed, you can open your browser again and go the website:  </w:t>
      </w:r>
      <w:r>
        <w:rPr>
          <w:rStyle w:val="Hyperlink"/>
          <w:rFonts w:cs="Arial" w:ascii="Arial" w:hAnsi="Arial"/>
          <w:sz w:val="24"/>
        </w:rPr>
        <w:t>www.swgas.com/gasbids2000</w:t>
      </w:r>
    </w:p>
    <w:p>
      <w:pPr>
        <w:pStyle w:val="Normal"/>
        <w:jc w:val="both"/>
        <w:rPr>
          <w:rFonts w:ascii="Arial" w:hAnsi="Arial" w:cs="Arial"/>
          <w:sz w:val="24"/>
        </w:rPr>
      </w:pPr>
      <w:r>
        <w:rPr>
          <w:rFonts w:cs="Arial" w:ascii="Arial" w:hAnsi="Arial"/>
          <w:sz w:val="24"/>
        </w:rPr>
      </w:r>
    </w:p>
    <w:p>
      <w:pPr>
        <w:pStyle w:val="Normal"/>
        <w:numPr>
          <w:ilvl w:val="0"/>
          <w:numId w:val="1"/>
        </w:numPr>
        <w:jc w:val="both"/>
        <w:rPr>
          <w:rFonts w:ascii="Arial" w:hAnsi="Arial" w:cs="Arial"/>
          <w:sz w:val="24"/>
        </w:rPr>
      </w:pPr>
      <w:r>
        <w:rPr>
          <w:rFonts w:cs="Arial" w:ascii="Arial" w:hAnsi="Arial"/>
          <w:b/>
          <w:sz w:val="24"/>
        </w:rPr>
        <w:t>Logging into the software</w:t>
      </w:r>
      <w:r>
        <w:rPr>
          <w:rFonts w:cs="Arial" w:ascii="Arial" w:hAnsi="Arial"/>
          <w:sz w:val="24"/>
        </w:rPr>
        <w:t>.</w:t>
      </w:r>
    </w:p>
    <w:p>
      <w:pPr>
        <w:pStyle w:val="BodyTextIndent"/>
        <w:rPr/>
      </w:pPr>
      <w:r>
        <w:rPr/>
        <w:t xml:space="preserve">You will be provided with a user id and a password.  There will be two log-in sites for your user id and password—the first one to get past the firewall and the second to access the bid program.  Change your password immediately after logging in.  Also, it would be prudent to keep you passwords the same for both log-ins.  </w:t>
      </w:r>
    </w:p>
    <w:p>
      <w:pPr>
        <w:pStyle w:val="Normal"/>
        <w:ind w:start="360" w:end="0"/>
        <w:jc w:val="both"/>
        <w:rPr>
          <w:rFonts w:ascii="Arial" w:hAnsi="Arial" w:cs="Arial"/>
          <w:sz w:val="24"/>
        </w:rPr>
      </w:pPr>
      <w:r>
        <w:rPr>
          <w:rFonts w:cs="Arial" w:ascii="Arial" w:hAnsi="Arial"/>
          <w:sz w:val="24"/>
        </w:rPr>
      </w:r>
    </w:p>
    <w:p>
      <w:pPr>
        <w:pStyle w:val="BodyTextIndent3"/>
        <w:rPr/>
      </w:pPr>
      <w:r>
        <w:rPr/>
        <w:t xml:space="preserve">It is the responsibility of each user to maintain the security of its passwords and bids.  If you need to have your passwords reset, please contact your representative in Gas Purchases.  </w:t>
      </w:r>
    </w:p>
    <w:p>
      <w:pPr>
        <w:pStyle w:val="Normal"/>
        <w:jc w:val="both"/>
        <w:rPr>
          <w:rFonts w:ascii="Arial" w:hAnsi="Arial" w:cs="Arial"/>
          <w:sz w:val="24"/>
        </w:rPr>
      </w:pPr>
      <w:r>
        <w:rPr>
          <w:rFonts w:cs="Arial" w:ascii="Arial" w:hAnsi="Arial"/>
          <w:sz w:val="24"/>
        </w:rPr>
      </w:r>
    </w:p>
    <w:p>
      <w:pPr>
        <w:pStyle w:val="Normal"/>
        <w:numPr>
          <w:ilvl w:val="0"/>
          <w:numId w:val="1"/>
        </w:numPr>
        <w:jc w:val="both"/>
        <w:rPr>
          <w:rFonts w:ascii="Arial" w:hAnsi="Arial" w:cs="Arial"/>
          <w:b/>
          <w:sz w:val="24"/>
        </w:rPr>
      </w:pPr>
      <w:r>
        <w:rPr>
          <w:rFonts w:cs="Arial" w:ascii="Arial" w:hAnsi="Arial"/>
          <w:b/>
          <w:sz w:val="24"/>
        </w:rPr>
        <w:t>Bid Program</w:t>
      </w:r>
    </w:p>
    <w:p>
      <w:pPr>
        <w:pStyle w:val="BodyTextIndent"/>
        <w:rPr/>
      </w:pPr>
      <w:r>
        <w:rPr/>
        <w:t xml:space="preserve">Please complete the administrative information before you start entering any bids.  Select the “Admin” button at the bottom left of the screen.  You only have to do this once.  </w:t>
      </w:r>
    </w:p>
    <w:p>
      <w:pPr>
        <w:pStyle w:val="Normal"/>
        <w:ind w:start="360" w:end="0"/>
        <w:jc w:val="both"/>
        <w:rPr>
          <w:rFonts w:ascii="Arial" w:hAnsi="Arial" w:cs="Arial"/>
          <w:sz w:val="24"/>
        </w:rPr>
      </w:pPr>
      <w:r>
        <w:rPr>
          <w:rFonts w:cs="Arial" w:ascii="Arial" w:hAnsi="Arial"/>
          <w:sz w:val="24"/>
        </w:rPr>
      </w:r>
    </w:p>
    <w:p>
      <w:pPr>
        <w:pStyle w:val="BodyTextIndent"/>
        <w:rPr/>
      </w:pPr>
      <w:r>
        <w:rPr/>
        <w:t xml:space="preserve">The bid screen is self-contained on one screen and is fairly self-explanatory.  Most of the fields are easy to understand and complete.  There are a few fields highlighted:  </w:t>
      </w:r>
    </w:p>
    <w:p>
      <w:pPr>
        <w:pStyle w:val="BodyTextIndent2"/>
        <w:numPr>
          <w:ilvl w:val="0"/>
          <w:numId w:val="2"/>
        </w:numPr>
        <w:rPr/>
      </w:pPr>
      <w:r>
        <w:rPr/>
        <w:t xml:space="preserve">A screen with empty fields will pop up initially.  In order to input your first bid, you must hit the “Add” button and it will assign you with the first bid (001-A-00).  </w:t>
      </w:r>
    </w:p>
    <w:p>
      <w:pPr>
        <w:pStyle w:val="BodyTextIndent2"/>
        <w:numPr>
          <w:ilvl w:val="0"/>
          <w:numId w:val="2"/>
        </w:numPr>
        <w:rPr/>
      </w:pPr>
      <w:r>
        <w:rPr/>
        <w:t>The daily volume being requested is the maximum volume that you are offering for a particular bid.  If the bid is a base+swing or flex+swing bid, the flex portion will be expressed as a percentage of the maximum volume in the minimum quantity field.</w:t>
      </w:r>
    </w:p>
    <w:p>
      <w:pPr>
        <w:pStyle w:val="BodyTextIndent2"/>
        <w:numPr>
          <w:ilvl w:val="0"/>
          <w:numId w:val="2"/>
        </w:numPr>
        <w:rPr/>
      </w:pPr>
      <w:r>
        <w:rPr/>
        <w:t xml:space="preserve">Tier 2 pricing will not be visible, unless it is one of the bids listed above. </w:t>
      </w:r>
    </w:p>
    <w:p>
      <w:pPr>
        <w:pStyle w:val="BodyTextIndent2"/>
        <w:numPr>
          <w:ilvl w:val="0"/>
          <w:numId w:val="2"/>
        </w:numPr>
        <w:rPr/>
      </w:pPr>
      <w:r>
        <w:rPr/>
        <w:t xml:space="preserve">It is not a requirement to complete the monthly or term sections.  </w:t>
      </w:r>
    </w:p>
    <w:p>
      <w:pPr>
        <w:pStyle w:val="BodyTextIndent2"/>
        <w:numPr>
          <w:ilvl w:val="0"/>
          <w:numId w:val="2"/>
        </w:numPr>
        <w:rPr/>
      </w:pPr>
      <w:r>
        <w:rPr/>
        <w:t xml:space="preserve">If none of the fields provided meet your requirements, the comments field should be more than adequate to capture the intent of your bid. </w:t>
      </w:r>
    </w:p>
    <w:p>
      <w:pPr>
        <w:pStyle w:val="BodyTextIndent2"/>
        <w:numPr>
          <w:ilvl w:val="0"/>
          <w:numId w:val="2"/>
        </w:numPr>
        <w:rPr/>
      </w:pPr>
      <w:r>
        <w:rPr/>
        <w:t>Finally, in order to print a bid, you must do a printer set-up.  Use the pull down menu under “File” and select printer set-up.  Select your printer.  You only need to do this once.  Under “Report,” select the current bid or all bids to be printed.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4.  </w:t>
      </w:r>
      <w:r>
        <w:rPr>
          <w:rFonts w:cs="Arial" w:ascii="Arial" w:hAnsi="Arial"/>
          <w:b/>
          <w:sz w:val="24"/>
        </w:rPr>
        <w:t>Submittal of Bids</w:t>
      </w:r>
    </w:p>
    <w:p>
      <w:pPr>
        <w:pStyle w:val="BodyTextIndent"/>
        <w:rPr/>
      </w:pPr>
      <w:r>
        <w:rPr>
          <w:b/>
        </w:rPr>
        <w:t xml:space="preserve">Southwest Gas will only accept a total of </w:t>
      </w:r>
      <w:r>
        <w:rPr>
          <w:b/>
          <w:u w:val="single"/>
        </w:rPr>
        <w:t>80 bids per company</w:t>
      </w:r>
      <w:r>
        <w:rPr/>
        <w:t xml:space="preserve">.  Please coordinate with your other offices to ensure you do not exceed this limit.  No bids will be considered unless the bid has been validated and then submitted.  </w:t>
      </w:r>
    </w:p>
    <w:p>
      <w:pPr>
        <w:pStyle w:val="BodyTextIndent"/>
        <w:rPr>
          <w:b/>
        </w:rPr>
      </w:pPr>
      <w:r>
        <w:rPr>
          <w:b/>
        </w:rPr>
      </w:r>
    </w:p>
    <w:p>
      <w:pPr>
        <w:pStyle w:val="BodyTextIndent"/>
        <w:rPr/>
      </w:pPr>
      <w:r>
        <w:rPr/>
        <w:t>Once a bid has been submitted, it can not be changed.  A revision supersedes a submitted bid.  For example, you submit 001-A-00 as your initial bid.  You realize you made a mistake on this bid, and you select revised.  The new bid number will be 001-A-01, which will replace 001-A-00 for Southwest’s consideration.  If you have any questions, please contact Gas Purchases.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We hope that with this new program, we have made the bidding process a much easier one for all concerned.  </w:t>
      </w:r>
      <w:r>
        <w:rPr>
          <w:rFonts w:cs="Arial" w:ascii="Arial" w:hAnsi="Arial"/>
          <w:b/>
          <w:sz w:val="24"/>
        </w:rPr>
        <w:t>The deadline for all bids to be submitted is July 17, 2000</w:t>
      </w:r>
      <w:r>
        <w:rPr>
          <w:rFonts w:cs="Arial" w:ascii="Arial" w:hAnsi="Arial"/>
          <w:sz w:val="24"/>
        </w:rPr>
        <w:t>.  This is also noted on the number of days you have left on the top right hand corner of the main screen.  Happy Bidding!</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12p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12pt" w:hAnsi="Courier 12pt" w:eastAsia="Times New Roman" w:cs="Courier 12pt"/>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jc w:val="center"/>
    </w:pPr>
    <w:rPr>
      <w:rFonts w:ascii="Arial" w:hAnsi="Arial" w:cs="Arial"/>
      <w:b/>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0" w:start="360" w:end="0"/>
      <w:jc w:val="both"/>
    </w:pPr>
    <w:rPr>
      <w:rFonts w:ascii="Arial" w:hAnsi="Arial" w:cs="Arial"/>
      <w:sz w:val="24"/>
    </w:rPr>
  </w:style>
  <w:style w:type="paragraph" w:styleId="BodyTextIndent2">
    <w:name w:val="Body Text Indent 2"/>
    <w:basedOn w:val="Normal"/>
    <w:qFormat/>
    <w:pPr>
      <w:widowControl/>
      <w:ind w:hanging="0" w:start="720" w:end="0"/>
      <w:jc w:val="both"/>
    </w:pPr>
    <w:rPr>
      <w:rFonts w:ascii="Arial" w:hAnsi="Arial" w:cs="Arial"/>
      <w:sz w:val="24"/>
    </w:rPr>
  </w:style>
  <w:style w:type="paragraph" w:styleId="BodyTextIndent3">
    <w:name w:val="Body Text Indent 3"/>
    <w:basedOn w:val="Normal"/>
    <w:qFormat/>
    <w:pPr>
      <w:ind w:hanging="0" w:start="360" w:end="0"/>
      <w:jc w:val="both"/>
    </w:pPr>
    <w:rPr>
      <w:rFonts w:ascii="Arial" w:hAnsi="Arial" w:cs="Arial"/>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2000-06-19T19:47:00Z</dcterms:created>
  <dc:creator>Southwest Gas Corporation</dc:creator>
  <dc:description/>
  <dc:language>en-CA</dc:language>
  <cp:lastModifiedBy>jda1</cp:lastModifiedBy>
  <cp:lastPrinted>2000-06-19T14:32:00Z</cp:lastPrinted>
  <dcterms:modified xsi:type="dcterms:W3CDTF">2000-06-19T19:47:00Z</dcterms:modified>
  <cp:revision>2</cp:revision>
  <dc:subject/>
  <dc:title>June 15, 1999</dc:title>
</cp:coreProperties>
</file>