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24"/>
        </w:rPr>
      </w:pPr>
      <w:r>
        <w:rPr>
          <w:b/>
          <w:bCs/>
          <w:sz w:val="24"/>
        </w:rPr>
        <w:t>MARK C. SCHROEDER</w:t>
      </w:r>
    </w:p>
    <w:p>
      <w:pPr>
        <w:pStyle w:val="Normal"/>
        <w:jc w:val="center"/>
        <w:rPr>
          <w:sz w:val="24"/>
          <w:u w:val="single"/>
        </w:rPr>
      </w:pPr>
      <w:r>
        <w:rPr>
          <w:b/>
          <w:bCs/>
          <w:sz w:val="24"/>
          <w:u w:val="single"/>
        </w:rPr>
        <w:t>YEAR 2000 ACCOMPLISHMENTS</w:t>
      </w:r>
    </w:p>
    <w:p>
      <w:pPr>
        <w:pStyle w:val="Normal"/>
        <w:jc w:val="center"/>
        <w:rPr>
          <w:sz w:val="24"/>
          <w:u w:val="single"/>
        </w:rPr>
      </w:pPr>
      <w:r>
        <w:rPr>
          <w:sz w:val="24"/>
          <w:u w:val="single"/>
        </w:rPr>
      </w:r>
    </w:p>
    <w:p>
      <w:pPr>
        <w:pStyle w:val="Normal"/>
        <w:rPr>
          <w:b/>
          <w:bCs/>
          <w:sz w:val="24"/>
          <w:u w:val="single"/>
        </w:rPr>
      </w:pPr>
      <w:r>
        <w:rPr>
          <w:b/>
          <w:bCs/>
          <w:sz w:val="24"/>
          <w:u w:val="single"/>
        </w:rPr>
        <w:t>PERSONAL:</w:t>
      </w:r>
    </w:p>
    <w:p>
      <w:pPr>
        <w:pStyle w:val="Normal"/>
        <w:jc w:val="both"/>
        <w:rPr>
          <w:b/>
          <w:bCs/>
          <w:sz w:val="24"/>
          <w:u w:val="single"/>
        </w:rPr>
      </w:pPr>
      <w:r>
        <w:rPr>
          <w:b/>
          <w:bCs/>
          <w:sz w:val="24"/>
          <w:u w:val="single"/>
        </w:rPr>
      </w:r>
    </w:p>
    <w:p>
      <w:pPr>
        <w:pStyle w:val="Normal"/>
        <w:numPr>
          <w:ilvl w:val="0"/>
          <w:numId w:val="1"/>
        </w:numPr>
        <w:jc w:val="both"/>
        <w:rPr>
          <w:sz w:val="24"/>
        </w:rPr>
      </w:pPr>
      <w:r>
        <w:rPr>
          <w:sz w:val="24"/>
        </w:rPr>
        <w:t>Obtained necessary UK Government approval to enable timely completion of the sale of Sutton Bridge power station.</w:t>
      </w:r>
    </w:p>
    <w:p>
      <w:pPr>
        <w:pStyle w:val="Normal"/>
        <w:jc w:val="both"/>
        <w:rPr>
          <w:sz w:val="24"/>
        </w:rPr>
      </w:pPr>
      <w:r>
        <w:rPr>
          <w:sz w:val="24"/>
        </w:rPr>
      </w:r>
    </w:p>
    <w:p>
      <w:pPr>
        <w:pStyle w:val="Normal"/>
        <w:numPr>
          <w:ilvl w:val="0"/>
          <w:numId w:val="1"/>
        </w:numPr>
        <w:jc w:val="both"/>
        <w:rPr>
          <w:sz w:val="24"/>
        </w:rPr>
      </w:pPr>
      <w:r>
        <w:rPr>
          <w:sz w:val="24"/>
        </w:rPr>
        <w:t>Letter from me to Callum McCarthy (Director General, Office of Gas and Electricity Markets [OFGEM]), resulted in OFGEM contacting British TransCo being contacted about asymmetric balancing activity on their system, which they discontinued, and which put an end to asymmetric market risks for our UK gas trading (which had lost some money as a result of TransCo’s activities).  OFGEM staff explicitly acknowledged the role of Enron and this correspondence in this set of events.</w:t>
      </w:r>
    </w:p>
    <w:p>
      <w:pPr>
        <w:pStyle w:val="Normal"/>
        <w:jc w:val="both"/>
        <w:rPr>
          <w:sz w:val="24"/>
        </w:rPr>
      </w:pPr>
      <w:r>
        <w:rPr>
          <w:sz w:val="24"/>
        </w:rPr>
      </w:r>
    </w:p>
    <w:p>
      <w:pPr>
        <w:pStyle w:val="Normal"/>
        <w:numPr>
          <w:ilvl w:val="0"/>
          <w:numId w:val="1"/>
        </w:numPr>
        <w:jc w:val="both"/>
        <w:rPr>
          <w:sz w:val="24"/>
        </w:rPr>
      </w:pPr>
      <w:r>
        <w:rPr>
          <w:sz w:val="24"/>
        </w:rPr>
        <w:t>Defused and turned around the perception in the UK Government that Enron’s coal trading activities were a major source of congested rail freight problems in Scotland, which had knock-on financial effect on Scottish mining interests.</w:t>
      </w:r>
    </w:p>
    <w:p>
      <w:pPr>
        <w:pStyle w:val="Normal"/>
        <w:jc w:val="both"/>
        <w:rPr>
          <w:sz w:val="24"/>
        </w:rPr>
      </w:pPr>
      <w:r>
        <w:rPr>
          <w:sz w:val="24"/>
        </w:rPr>
      </w:r>
    </w:p>
    <w:p>
      <w:pPr>
        <w:pStyle w:val="Normal"/>
        <w:numPr>
          <w:ilvl w:val="0"/>
          <w:numId w:val="1"/>
        </w:numPr>
        <w:jc w:val="both"/>
        <w:rPr>
          <w:sz w:val="24"/>
        </w:rPr>
      </w:pPr>
      <w:r>
        <w:rPr>
          <w:sz w:val="24"/>
        </w:rPr>
        <w:t>My Department, though small, has been a source of significant talent to other organisations within Enron Europe this year, Fiona Grant to PR, Stephen Jones to UK Gas Analytics (as of 2/1/01), Christopher Day to UK Power Analytics (as of 2/1/01), Philip Davies to French origination efforts (as of 1/12/00), and Kyran Hanks to EES (as of 2/1/01).</w:t>
      </w:r>
    </w:p>
    <w:p>
      <w:pPr>
        <w:pStyle w:val="Normal"/>
        <w:jc w:val="both"/>
        <w:rPr>
          <w:sz w:val="24"/>
        </w:rPr>
      </w:pPr>
      <w:r>
        <w:rPr>
          <w:sz w:val="24"/>
        </w:rPr>
      </w:r>
    </w:p>
    <w:p>
      <w:pPr>
        <w:pStyle w:val="Normal"/>
        <w:numPr>
          <w:ilvl w:val="0"/>
          <w:numId w:val="1"/>
        </w:numPr>
        <w:jc w:val="both"/>
        <w:rPr>
          <w:sz w:val="24"/>
        </w:rPr>
      </w:pPr>
      <w:r>
        <w:rPr>
          <w:sz w:val="24"/>
        </w:rPr>
        <w:t>Significantly scoped down the effort and redeployed the people (still ongoing with, e.g., Mike Dahlke and David Merrill) in the APACHI region, with substantial cost savings to Enron this year and going forward.</w:t>
      </w:r>
    </w:p>
    <w:p>
      <w:pPr>
        <w:pStyle w:val="Normal"/>
        <w:jc w:val="both"/>
        <w:rPr>
          <w:sz w:val="24"/>
        </w:rPr>
      </w:pPr>
      <w:r>
        <w:rPr>
          <w:sz w:val="24"/>
        </w:rPr>
      </w:r>
    </w:p>
    <w:p>
      <w:pPr>
        <w:pStyle w:val="Normal"/>
        <w:jc w:val="both"/>
        <w:rPr>
          <w:b/>
          <w:bCs/>
          <w:sz w:val="24"/>
          <w:u w:val="single"/>
        </w:rPr>
      </w:pPr>
      <w:r>
        <w:rPr>
          <w:b/>
          <w:bCs/>
          <w:sz w:val="24"/>
          <w:u w:val="single"/>
        </w:rPr>
        <w:t>TEAM SUCCESSES:</w:t>
      </w:r>
    </w:p>
    <w:p>
      <w:pPr>
        <w:pStyle w:val="Normal"/>
        <w:jc w:val="both"/>
        <w:rPr>
          <w:b/>
          <w:bCs/>
          <w:sz w:val="24"/>
          <w:u w:val="single"/>
        </w:rPr>
      </w:pPr>
      <w:r>
        <w:rPr>
          <w:b/>
          <w:bCs/>
          <w:sz w:val="24"/>
          <w:u w:val="single"/>
        </w:rPr>
      </w:r>
    </w:p>
    <w:p>
      <w:pPr>
        <w:pStyle w:val="BodyTextIndent"/>
        <w:rPr/>
      </w:pPr>
      <w:r>
        <w:rPr/>
        <w:t>1)</w:t>
        <w:tab/>
        <w:t xml:space="preserve">Defeat of the proposal for cross-border tariffs (2 Euros/MWh).  I think this stands out as an achievement that demonstrates the real scope and breadth of the team’s coverage.  Working in Brussels (P. Styles), corresponding with regulators in Denmark (P. Davies) and Spain/Portugal/Italy (A. Huertas), orchestrating a meeting of trade associations with the energy advisor to the German Chancellor (P. Hennemeyer), gaining the UK Energy Minister’s personal involvement (letter from me), and even drafting letters for our allies to send to the same contacts (Styles and me), we turned around an issue that had been completely written off in the media and by senior commercial people here in London.  Significant immediate value to Enron for intra EU trade, significant going forward because it shows we must be reckoned with, and something no other company could accomplish. </w:t>
      </w:r>
    </w:p>
    <w:p>
      <w:pPr>
        <w:pStyle w:val="Normal"/>
        <w:jc w:val="both"/>
        <w:rPr>
          <w:sz w:val="24"/>
        </w:rPr>
      </w:pPr>
      <w:r>
        <w:rPr>
          <w:sz w:val="24"/>
        </w:rPr>
      </w:r>
    </w:p>
    <w:p>
      <w:pPr>
        <w:pStyle w:val="Normal"/>
        <w:numPr>
          <w:ilvl w:val="0"/>
          <w:numId w:val="2"/>
        </w:numPr>
        <w:jc w:val="both"/>
        <w:rPr>
          <w:sz w:val="24"/>
        </w:rPr>
      </w:pPr>
      <w:r>
        <w:rPr>
          <w:sz w:val="24"/>
        </w:rPr>
        <w:t>Gained multiple warning letters from German Cartel Office, allowing successful gas origination with multiple German Stadtwerke;</w:t>
      </w:r>
    </w:p>
    <w:p>
      <w:pPr>
        <w:pStyle w:val="Normal"/>
        <w:ind w:start="360" w:end="0"/>
        <w:jc w:val="both"/>
        <w:rPr>
          <w:sz w:val="24"/>
        </w:rPr>
      </w:pPr>
      <w:r>
        <w:rPr>
          <w:sz w:val="24"/>
        </w:rPr>
      </w:r>
    </w:p>
    <w:p>
      <w:pPr>
        <w:pStyle w:val="Normal"/>
        <w:numPr>
          <w:ilvl w:val="0"/>
          <w:numId w:val="2"/>
        </w:numPr>
        <w:jc w:val="both"/>
        <w:rPr>
          <w:sz w:val="24"/>
        </w:rPr>
      </w:pPr>
      <w:r>
        <w:rPr>
          <w:sz w:val="24"/>
        </w:rPr>
        <w:t>Continued progress on critical issues for Arcos, Spain power project;</w:t>
      </w:r>
    </w:p>
    <w:p>
      <w:pPr>
        <w:pStyle w:val="Normal"/>
        <w:jc w:val="both"/>
        <w:rPr>
          <w:sz w:val="24"/>
        </w:rPr>
      </w:pPr>
      <w:r>
        <w:rPr>
          <w:sz w:val="24"/>
        </w:rPr>
      </w:r>
    </w:p>
    <w:p>
      <w:pPr>
        <w:pStyle w:val="Normal"/>
        <w:numPr>
          <w:ilvl w:val="0"/>
          <w:numId w:val="2"/>
        </w:numPr>
        <w:jc w:val="both"/>
        <w:rPr>
          <w:sz w:val="24"/>
        </w:rPr>
      </w:pPr>
      <w:r>
        <w:rPr>
          <w:sz w:val="24"/>
        </w:rPr>
        <w:t xml:space="preserve">Gained a requirement that German utilities form/organise a cost-reflective/market-based balancing market for power; </w:t>
      </w:r>
    </w:p>
    <w:p>
      <w:pPr>
        <w:pStyle w:val="Normal"/>
        <w:jc w:val="both"/>
        <w:rPr>
          <w:sz w:val="24"/>
        </w:rPr>
      </w:pPr>
      <w:r>
        <w:rPr>
          <w:sz w:val="24"/>
        </w:rPr>
      </w:r>
    </w:p>
    <w:p>
      <w:pPr>
        <w:pStyle w:val="Normal"/>
        <w:numPr>
          <w:ilvl w:val="0"/>
          <w:numId w:val="2"/>
        </w:numPr>
        <w:jc w:val="both"/>
        <w:rPr>
          <w:sz w:val="24"/>
        </w:rPr>
      </w:pPr>
      <w:r>
        <w:rPr>
          <w:sz w:val="24"/>
        </w:rPr>
        <w:t>Managed Italian import capacity (power) allocation in such a way as to reduce/mitigate contractual exposure with one counter party;</w:t>
      </w:r>
    </w:p>
    <w:p>
      <w:pPr>
        <w:pStyle w:val="Normal"/>
        <w:jc w:val="both"/>
        <w:rPr>
          <w:sz w:val="24"/>
        </w:rPr>
      </w:pPr>
      <w:r>
        <w:rPr>
          <w:sz w:val="24"/>
        </w:rPr>
      </w:r>
    </w:p>
    <w:p>
      <w:pPr>
        <w:pStyle w:val="Normal"/>
        <w:numPr>
          <w:ilvl w:val="0"/>
          <w:numId w:val="2"/>
        </w:numPr>
        <w:jc w:val="both"/>
        <w:rPr>
          <w:sz w:val="24"/>
        </w:rPr>
      </w:pPr>
      <w:r>
        <w:rPr>
          <w:sz w:val="24"/>
        </w:rPr>
        <w:t xml:space="preserve">Significant contribution of data and advocacy directed to UK DTI, resulted in lifting of gas-fired power station moratorium significantly </w:t>
      </w:r>
      <w:r>
        <w:rPr>
          <w:sz w:val="24"/>
          <w:u w:val="single"/>
        </w:rPr>
        <w:t>in advance of</w:t>
      </w:r>
      <w:r>
        <w:rPr>
          <w:sz w:val="24"/>
        </w:rPr>
        <w:t xml:space="preserve"> New Electricity Trading Arrangements;</w:t>
      </w:r>
    </w:p>
    <w:p>
      <w:pPr>
        <w:pStyle w:val="Normal"/>
        <w:jc w:val="both"/>
        <w:rPr>
          <w:sz w:val="24"/>
        </w:rPr>
      </w:pPr>
      <w:r>
        <w:rPr>
          <w:sz w:val="24"/>
        </w:rPr>
      </w:r>
    </w:p>
    <w:p>
      <w:pPr>
        <w:pStyle w:val="Normal"/>
        <w:numPr>
          <w:ilvl w:val="0"/>
          <w:numId w:val="2"/>
        </w:numPr>
        <w:jc w:val="both"/>
        <w:rPr>
          <w:sz w:val="24"/>
        </w:rPr>
      </w:pPr>
      <w:r>
        <w:rPr>
          <w:sz w:val="24"/>
        </w:rPr>
        <w:t>Relationships with UK DTI are such that we are now solicited for our views, including request by UK Energy Minister for a briefing;</w:t>
      </w:r>
    </w:p>
    <w:p>
      <w:pPr>
        <w:pStyle w:val="Normal"/>
        <w:jc w:val="both"/>
        <w:rPr>
          <w:sz w:val="24"/>
        </w:rPr>
      </w:pPr>
      <w:r>
        <w:rPr>
          <w:sz w:val="24"/>
        </w:rPr>
      </w:r>
    </w:p>
    <w:p>
      <w:pPr>
        <w:pStyle w:val="Normal"/>
        <w:numPr>
          <w:ilvl w:val="0"/>
          <w:numId w:val="2"/>
        </w:numPr>
        <w:jc w:val="both"/>
        <w:rPr>
          <w:sz w:val="24"/>
        </w:rPr>
      </w:pPr>
      <w:r>
        <w:rPr>
          <w:sz w:val="24"/>
        </w:rPr>
        <w:t>Improved access to interconnections between Nordic markets and continental Europe (a recognised success by traders Baumerich and T. Lien);</w:t>
      </w:r>
    </w:p>
    <w:p>
      <w:pPr>
        <w:pStyle w:val="Normal"/>
        <w:jc w:val="both"/>
        <w:rPr>
          <w:sz w:val="24"/>
        </w:rPr>
      </w:pPr>
      <w:r>
        <w:rPr>
          <w:sz w:val="24"/>
        </w:rPr>
      </w:r>
    </w:p>
    <w:p>
      <w:pPr>
        <w:pStyle w:val="Normal"/>
        <w:numPr>
          <w:ilvl w:val="0"/>
          <w:numId w:val="2"/>
        </w:numPr>
        <w:jc w:val="both"/>
        <w:rPr>
          <w:sz w:val="24"/>
        </w:rPr>
      </w:pPr>
      <w:r>
        <w:rPr>
          <w:sz w:val="24"/>
        </w:rPr>
        <w:t xml:space="preserve">Gained definition of eligible customers in Spain that opened  new opportunities for Enron Directo; </w:t>
      </w:r>
    </w:p>
    <w:p>
      <w:pPr>
        <w:pStyle w:val="Normal"/>
        <w:jc w:val="both"/>
        <w:rPr>
          <w:sz w:val="24"/>
        </w:rPr>
      </w:pPr>
      <w:r>
        <w:rPr>
          <w:sz w:val="24"/>
        </w:rPr>
      </w:r>
    </w:p>
    <w:p>
      <w:pPr>
        <w:pStyle w:val="Normal"/>
        <w:numPr>
          <w:ilvl w:val="0"/>
          <w:numId w:val="2"/>
        </w:numPr>
        <w:jc w:val="both"/>
        <w:rPr>
          <w:sz w:val="24"/>
        </w:rPr>
      </w:pPr>
      <w:r>
        <w:rPr>
          <w:sz w:val="24"/>
        </w:rPr>
        <w:t xml:space="preserve"> </w:t>
      </w:r>
      <w:r>
        <w:rPr>
          <w:sz w:val="24"/>
        </w:rPr>
        <w:t>Enron’s efforts have led to promulgation of rules for a) more transparent, and            b) market-based/cost-reflective balancing regime in French power market;</w:t>
      </w:r>
    </w:p>
    <w:p>
      <w:pPr>
        <w:pStyle w:val="Normal"/>
        <w:jc w:val="both"/>
        <w:rPr>
          <w:sz w:val="24"/>
        </w:rPr>
      </w:pPr>
      <w:r>
        <w:rPr>
          <w:sz w:val="24"/>
        </w:rPr>
      </w:r>
    </w:p>
    <w:p>
      <w:pPr>
        <w:pStyle w:val="Normal"/>
        <w:numPr>
          <w:ilvl w:val="0"/>
          <w:numId w:val="2"/>
        </w:numPr>
        <w:jc w:val="both"/>
        <w:rPr>
          <w:sz w:val="24"/>
        </w:rPr>
      </w:pPr>
      <w:r>
        <w:rPr>
          <w:sz w:val="24"/>
        </w:rPr>
        <w:t xml:space="preserve"> </w:t>
      </w:r>
      <w:r>
        <w:rPr>
          <w:sz w:val="24"/>
        </w:rPr>
        <w:t>Continued progress on Romanian license (gas and power, trading and          import/export) issues, and Polish trading arrangements (power), (including    progress on market-based rates for traders);</w:t>
      </w:r>
    </w:p>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2"/>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2000-12-29T11:55:00Z</dcterms:created>
  <dc:creator>mschroed</dc:creator>
  <dc:description/>
  <dc:language>en-CA</dc:language>
  <cp:lastModifiedBy>bashcrof</cp:lastModifiedBy>
  <cp:lastPrinted>2000-12-29T12:16:00Z</cp:lastPrinted>
  <dcterms:modified xsi:type="dcterms:W3CDTF">2000-12-29T11:55:00Z</dcterms:modified>
  <cp:revision>2</cp:revision>
  <dc:subject/>
  <dc:title>MARK C</dc:title>
</cp:coreProperties>
</file>