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Randy Petersen, Chris Helfrich</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Curry, Sharon Sullo, Becky Caudle, David Fontana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RAC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Kafus Industries Ltd.</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In February and March 2000, Kafus Industries Ltd (“Kafus” or “the Company”) corporate offices in Vancouver, and the following subsidiaries of Kafus were visited:  CanFibre Riverside, Kenaf Industries of South Texas (“KIST”) and Indiana Bio-Composites LLC (“IBC”).  Our visits included tours of the facilities, discussions with management and reviews of financial information.  The following is a summary of our findings with some detail following.  Further discussions for each site and pictures of the facilities visited are attached.</w:t>
      </w:r>
    </w:p>
    <w:p>
      <w:pPr>
        <w:pStyle w:val="Body"/>
        <w:rPr/>
      </w:pPr>
      <w:r>
        <w:rPr/>
      </w:r>
    </w:p>
    <w:p>
      <w:pPr>
        <w:pStyle w:val="Body"/>
        <w:pBdr>
          <w:top w:val="single" w:sz="4" w:space="1" w:color="000000"/>
          <w:left w:val="single" w:sz="4" w:space="4" w:color="000000"/>
          <w:bottom w:val="single" w:sz="4" w:space="1" w:color="000000"/>
          <w:right w:val="single" w:sz="4" w:space="4" w:color="000000"/>
        </w:pBdr>
        <w:rPr>
          <w:b/>
          <w:u w:val="single"/>
        </w:rPr>
      </w:pPr>
      <w:r>
        <w:rPr>
          <w:b/>
          <w:u w:val="single"/>
        </w:rPr>
        <w:t>Findings</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There are cash management problems including commingling of funds, untimely collection of receivables and poor spending decisions.</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Cutoff procedures/controls are weak.</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There appears to be a lack in communication between the subsidiaries and corporate.</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KIST’s kenaf does not meet the quality standard of IBC.</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IBC has the potential for future revenues to be greatly hindered or the plant shutting down due to the fact that operations are in ramp up and there is no backup manufacturing line.</w:t>
      </w:r>
    </w:p>
    <w:p>
      <w:pPr>
        <w:pStyle w:val="Body"/>
        <w:numPr>
          <w:ilvl w:val="0"/>
          <w:numId w:val="2"/>
        </w:numPr>
        <w:pBdr>
          <w:top w:val="single" w:sz="4" w:space="1" w:color="000000"/>
          <w:left w:val="single" w:sz="4" w:space="4" w:color="000000"/>
          <w:bottom w:val="single" w:sz="4" w:space="1" w:color="000000"/>
          <w:right w:val="single" w:sz="4" w:space="4" w:color="000000"/>
        </w:pBdr>
        <w:tabs>
          <w:tab w:val="left" w:pos="432" w:leader="none"/>
        </w:tabs>
        <w:ind w:hanging="360" w:start="432" w:end="0"/>
        <w:rPr/>
      </w:pPr>
      <w:r>
        <w:rPr/>
        <w:t>IBC occasionally sources its kenaf fiber from China.  According to management, this high quality fiber is hand processed.  This may be a social issue for Enron.</w:t>
      </w:r>
    </w:p>
    <w:p>
      <w:pPr>
        <w:pStyle w:val="Body"/>
        <w:rPr/>
      </w:pPr>
      <w:r>
        <w:rPr/>
      </w:r>
    </w:p>
    <w:p>
      <w:pPr>
        <w:pStyle w:val="Body"/>
        <w:rPr>
          <w:b/>
          <w:u w:val="single"/>
        </w:rPr>
      </w:pPr>
      <w:r>
        <w:rPr>
          <w:b/>
          <w:u w:val="single"/>
        </w:rPr>
        <w:t>Cash Management</w:t>
      </w:r>
    </w:p>
    <w:p>
      <w:pPr>
        <w:pStyle w:val="Body"/>
        <w:rPr/>
      </w:pPr>
      <w:r>
        <w:rPr/>
        <w:t xml:space="preserve">The Company has poor cash management.  Significant personal expenses of management are paid by corporate and then recorded as a receivable.  These receivables are not collected on a regular basis and therefore are allowed to grow to a sizable balance.  Spending on G&amp;A items and capital assets appears to be excessive for a company in the start-up phase with no reliable revenue sources.  A large amount of money is spent for travel and entertainment, the Company has a cottage for management retreats in which the Company is responsible for the mortgage, upkeep, etc. and Kafus implemented a stock buy back plan in 1999.  In one instance, an advance for expenses was not applied to expense reports for five months while the consultant would be paid in the interim for other expenses.   Also, Kafus has entered into a joint venture to start Kenaf Eco Fibers Italia (“KEFI”), another kenaf facility in Italy.  Since KIST is still in the start up phase, this appears to be an aggressive initiative. </w:t>
      </w:r>
    </w:p>
    <w:p>
      <w:pPr>
        <w:pStyle w:val="Body"/>
        <w:rPr/>
      </w:pPr>
      <w:r>
        <w:rPr/>
      </w:r>
    </w:p>
    <w:p>
      <w:pPr>
        <w:pStyle w:val="Body"/>
        <w:rPr>
          <w:b/>
          <w:u w:val="single"/>
        </w:rPr>
      </w:pPr>
      <w:r>
        <w:rPr>
          <w:b/>
          <w:u w:val="single"/>
        </w:rPr>
        <w:t>Cutoff procedures/controls</w:t>
      </w:r>
    </w:p>
    <w:p>
      <w:pPr>
        <w:pStyle w:val="Body"/>
        <w:rPr/>
      </w:pPr>
      <w:r>
        <w:rPr/>
        <w:t>During the review of certain detailed general ledger accounts it was noted that 1998 expenses were included in 1999.  In addition, it was noted that some audit adjustments for the 1998 audit were posted in 1999 due to the Company not knowing how to correctly book these adjustments once the books for 1998 had been closed.</w:t>
      </w:r>
    </w:p>
    <w:p>
      <w:pPr>
        <w:pStyle w:val="Body"/>
        <w:rPr/>
      </w:pPr>
      <w:r>
        <w:rPr/>
      </w:r>
    </w:p>
    <w:p>
      <w:pPr>
        <w:pStyle w:val="Body"/>
        <w:rPr>
          <w:b/>
          <w:u w:val="single"/>
        </w:rPr>
      </w:pPr>
      <w:r>
        <w:rPr>
          <w:b/>
          <w:u w:val="single"/>
        </w:rPr>
        <w:t>Communication</w:t>
      </w:r>
    </w:p>
    <w:p>
      <w:pPr>
        <w:pStyle w:val="Body"/>
        <w:rPr/>
      </w:pPr>
      <w:r>
        <w:rPr/>
        <w:t>It appeared that there was poor communication between the corporate offices and the subsidiaries.  When asked for a listing of management and employment agreements, the Company did not have such information.  The information had to be derived from discussions with other key employees as well as physical inspection of files.  This process took several weeks and was produced with the disclosure that there could be more, but there was no way to be sure that corporate is aware of all such agreements.  This is an area for potential liabilities and contingencies.  At KIST it was apparent that management felt that construction on a paper plant would be started soon.  In preparation for this new line of business, KIST management was planning to increase the acres planted.  This increase was not approved by corporate.  It was our impression that KIST management felt the paper plant was necessary and vital, however, we did not feel that Kafus corporate was supporting this philosophy.  Therefore, there is potential for misunderstanding in the future and possible loss of key employees.</w:t>
      </w:r>
    </w:p>
    <w:p>
      <w:pPr>
        <w:pStyle w:val="Body"/>
        <w:rPr/>
      </w:pPr>
      <w:r>
        <w:rPr/>
      </w:r>
    </w:p>
    <w:p>
      <w:pPr>
        <w:pStyle w:val="Body"/>
        <w:rPr>
          <w:b/>
          <w:u w:val="single"/>
        </w:rPr>
      </w:pPr>
      <w:r>
        <w:rPr>
          <w:b/>
          <w:u w:val="single"/>
        </w:rPr>
        <w:t>KIST and IBC issues</w:t>
      </w:r>
    </w:p>
    <w:p>
      <w:pPr>
        <w:pStyle w:val="Body"/>
        <w:rPr/>
      </w:pPr>
      <w:r>
        <w:rPr/>
        <w:t xml:space="preserve">The current kenaf bast fiber produced by KIST does not meet the quality standards required by IBC.  This requires further modifications to the KIST processing line.  In the meantime, IBC is purchasing kenaf fiber from suppliers that buy it from Europe and China.  The China fiber is of great quality as it is hand torn by laborers in China.  </w:t>
      </w:r>
    </w:p>
    <w:p>
      <w:pPr>
        <w:pStyle w:val="Body"/>
        <w:rPr/>
      </w:pPr>
      <w:r>
        <w:rPr/>
      </w:r>
    </w:p>
    <w:p>
      <w:pPr>
        <w:pStyle w:val="Body"/>
        <w:rPr/>
      </w:pPr>
      <w:r>
        <w:rPr/>
        <w:t>IBC is currently ramping up operations and trying to demonstrate to their customers that they can deliver products on time.  The plant only has one manufacturing line.  Should this line break down for a considerable time, there is no backup procedure to continue making the products, and a delay in producing the raw material needed by the auto manufacturers could greatly affect the continued relationship.</w:t>
      </w:r>
    </w:p>
    <w:p>
      <w:pPr>
        <w:pStyle w:val="Body"/>
        <w:rPr/>
      </w:pPr>
      <w:r>
        <w:rPr/>
      </w:r>
    </w:p>
    <w:p>
      <w:pPr>
        <w:pStyle w:val="Body"/>
        <w:rPr/>
      </w:pPr>
      <w:r>
        <w:rPr/>
        <w:t>Cc:  Rick Buy, Rick Carson, Dave Gorte, Dan Lyons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2000-04-13T17:37:00Z</dcterms:created>
  <dc:creator>Jeff Ford</dc:creator>
  <dc:description/>
  <dc:language>en-CA</dc:language>
  <cp:lastModifiedBy>serwin</cp:lastModifiedBy>
  <cp:lastPrinted>2000-04-13T16:52:00Z</cp:lastPrinted>
  <dcterms:modified xsi:type="dcterms:W3CDTF">2000-04-13T19:23:00Z</dcterms:modified>
  <cp:revision>7</cp:revision>
  <dc:subject>Kafus</dc:subject>
  <dc:title>Eron Capital &amp; Trade Resources Memo</dc:title>
</cp:coreProperties>
</file>