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Southeast Region, State Government Affairs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Year 2000 Top Ten Priorities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Texas:  Implementation of Senate Bill 7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Capacity auction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TXU unbundling filing and rate case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Reliant unbundling filing and rate case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Certification for REPs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Customer enrollment rules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ERCOT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Governance - Bylaw changes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Congestion management principles and protocols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Scheduling protocols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Ancillary services protocols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Single control area functions and protocols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Settlement and customer registration implementation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1999 carryovers:  marketer licensing/code of conduct/securitization parameters/ECOM model/renewable portfolio standards/competitive energy services unbundling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Texas:  Prepare for 2001 legislative session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Senate Bill 7 revisited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Clean air solutions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Internet taxes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North Carolina:  Pass restructuring legislation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North Carolina:  Support ElectriCities commercial deal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Florida:  Merchant plant legislation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Florida:  Prepare for retail legislation in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Oklahoma:  Pass restructuring legislation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Tennessee:  Continue efforts regarding merchant plants (taxes, control area, TVA, etc.)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Mississippi:  Merchant plant protection (especially taxes)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Georgia:  ENA transactions (merchant plants, AGL transactions)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1999-11-05T12:48:00Z</dcterms:created>
  <dc:creator>mreyna1</dc:creator>
  <dc:description/>
  <dc:language>en-CA</dc:language>
  <cp:lastModifiedBy>mreyna1</cp:lastModifiedBy>
  <cp:lastPrinted>1999-11-05T09:17:00Z</cp:lastPrinted>
  <dcterms:modified xsi:type="dcterms:W3CDTF">1999-11-05T12:48:00Z</dcterms:modified>
  <cp:revision>2</cp:revision>
  <dc:subject/>
  <dc:title>Southeast Region, State Government Affairs</dc:title>
</cp:coreProperties>
</file>