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32"/>
        <w:gridCol w:w="6096"/>
        <w:gridCol w:w="3690"/>
      </w:tblGrid>
      <w:tr>
        <w:trPr>
          <w:trHeight w:val="215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Objective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Measure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Completion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Compliance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Continuously improve Environmental Compliance Performance.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Reduce the NOV’s and penalties received compared to 1999 for operating and construction activities. (1999 2-NOV’s  7-NOC’s $5000 paid in fines).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Achieve zero NOV’s for untimely reporting and permit administrative certification failures.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Participate in GPG &amp; ET&amp;S environmental audit plan.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Track and communicate outstanding action items and communicate to management.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Continuous Improvement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the Continuous Improvement Process and coordinate the implementation of those recommendations from the Environmental Team.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863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the Best Practice Process and coordinate the  implementation of those recommendations from  the Environmental Best Practice Task Force.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November 1, 2000</w:t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  <w:t>Customer Service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Continue to support customers  (e.g. Construction, Field, OTS, E&amp;C ) and task forces.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Feedback from Customers.</w:t>
            </w:r>
          </w:p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 avoidable delays due to environmental team.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Define and review “Roles and Responsibility”.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Review and update by DES’s biannual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Safety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Maintain accident frequency rates that rank in the top quartile compared with industry rates.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Periodic Safety Statistical Report.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  <w:t>Financial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00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Control the O&amp;M and Capital Budgets within the latest approved plan. 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Financial Reports.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Codes &amp; Compliance</w:t>
            </w:r>
          </w:p>
        </w:tc>
        <w:tc>
          <w:tcPr>
            <w:tcW w:w="6096" w:type="dxa"/>
            <w:tcBorders>
              <w:top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Continued support of the Codes &amp; Compliance Taskforce by providing members to review and assure the Envision system continues to service the field teams needs. 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Environmental Team Members Service.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communicate, communicate, such as monthly conference calls, weekly reports, interactions with regulatory agencies.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Written documentation and participation.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Continue to refine and enhance Self Directed Work Team’s maturity.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Specific accomplishments related to SDWT processes and training.</w:t>
            </w:r>
          </w:p>
          <w:p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of GPG SDWT Task Force initiatives and programs.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November 1, 2000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720" w:right="1440" w:gutter="0" w:header="288" w:top="344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  <w:t>Environmental Team Objectives – 2000</w:t>
    </w:r>
  </w:p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2000-02-17T20:48:00Z</dcterms:created>
  <dc:creator>Phil Lowry</dc:creator>
  <dc:description/>
  <dc:language>en-CA</dc:language>
  <cp:lastModifiedBy>ET&amp;S</cp:lastModifiedBy>
  <cp:lastPrinted>2000-01-11T15:07:00Z</cp:lastPrinted>
  <dcterms:modified xsi:type="dcterms:W3CDTF">2000-02-17T20:48:00Z</dcterms:modified>
  <cp:revision>2</cp:revision>
  <dc:subject/>
  <dc:title>Objective</dc:title>
</cp:coreProperties>
</file>