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  <w:lang w:val="en-CA"/>
        </w:rPr>
      </w:pPr>
      <w:r>
        <w:rPr>
          <w:rFonts w:cs="Arial" w:ascii="Arial" w:hAnsi="Arial"/>
          <w:b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-182880</wp:posOffset>
                </wp:positionH>
                <wp:positionV relativeFrom="paragraph">
                  <wp:posOffset>114300</wp:posOffset>
                </wp:positionV>
                <wp:extent cx="722376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4.4pt,9pt" to="554.35pt,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sz w:val="24"/>
          <w:u w:val="single"/>
        </w:rPr>
        <w:t>ROTATIONS THIS PRC PERIOD</w:t>
      </w:r>
    </w:p>
    <w:p>
      <w:pPr>
        <w:pStyle w:val="Header"/>
        <w:tabs>
          <w:tab w:val="clear" w:pos="4320"/>
          <w:tab w:val="clear" w:pos="8640"/>
          <w:tab w:val="right" w:pos="10620" w:leader="none"/>
        </w:tabs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  <w:t xml:space="preserve">Enron Broadband Services Asia-Pacific Development                  </w:t>
        <w:tab/>
        <w:t>July–August 2000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  <w:t xml:space="preserve">Enron Broadband Services U.S. Network Development </w:t>
        <w:tab/>
        <w:tab/>
        <w:t xml:space="preserve">     September–December 2000</w:t>
      </w:r>
    </w:p>
    <w:p>
      <w:pPr>
        <w:pStyle w:val="Heading7"/>
        <w:ind w:hanging="0" w:start="0"/>
        <w:rPr>
          <w:rFonts w:ascii="Arial" w:hAnsi="Arial" w:cs="Arial"/>
          <w:b/>
          <w:i/>
          <w:i/>
          <w:sz w:val="24"/>
          <w:lang w:val="en-CA"/>
        </w:rPr>
      </w:pPr>
      <w:r>
        <w:rPr>
          <w:rFonts w:cs="Arial"/>
          <w:b/>
          <w:i/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-182880</wp:posOffset>
                </wp:positionH>
                <wp:positionV relativeFrom="paragraph">
                  <wp:posOffset>115570</wp:posOffset>
                </wp:positionV>
                <wp:extent cx="722376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4.4pt,9.1pt" to="554.35pt,9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  <w:t>Enron Broadband Services Asia-Pacific Development</w:t>
      </w:r>
    </w:p>
    <w:p>
      <w:pPr>
        <w:pStyle w:val="Heading7"/>
        <w:ind w:hanging="0" w:start="0"/>
        <w:rPr>
          <w:rFonts w:ascii="Arial" w:hAnsi="Arial" w:cs="Arial"/>
          <w:b/>
          <w:i/>
          <w:i/>
          <w:sz w:val="20"/>
        </w:rPr>
      </w:pPr>
      <w:r>
        <w:rPr>
          <w:rFonts w:cs="Arial"/>
          <w:b/>
          <w:i/>
          <w:sz w:val="20"/>
        </w:rPr>
      </w:r>
    </w:p>
    <w:p>
      <w:pPr>
        <w:pStyle w:val="Heading7"/>
        <w:ind w:hanging="0" w:start="0"/>
        <w:rPr>
          <w:b/>
        </w:rPr>
      </w:pPr>
      <w:r>
        <w:rPr>
          <w:b/>
        </w:rPr>
        <w:t>Responsibilities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Close bandwidth trading pooling point location deal in Tokyo 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Lead cross-functional team of internal representatives from risk management, network engineering,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</w:t>
      </w:r>
      <w:r>
        <w:rPr>
          <w:rFonts w:cs="Arial" w:ascii="Arial" w:hAnsi="Arial"/>
        </w:rPr>
        <w:t>legal, tax, accounting, and regulatory to close bandwidth trading transaction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Assist NTT transaction when necessary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Initiate business development opportunities for EBS in Singapore and South Korea 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 with regulatory agencies in Singapore to understand EBS options there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start="0"/>
        <w:rPr>
          <w:b/>
        </w:rPr>
      </w:pPr>
      <w:r>
        <w:rPr>
          <w:b/>
        </w:rPr>
        <w:t>Significant Accomplishments /Projects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Global Access, Tokyo Pooling Point Deal (cont.)  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  <w:t>Deal closed August 2000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Continued negotiations with Global Access Limited (GAL) of Tokyo for space in Tokyo Nihonbashi facility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Worked with engineering to document technical requirements for pooling point location 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Communicated technical requirements to GAL to ensure that requirements were documented in contract and understood by GAL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Worked with EBS Legal to finalize contract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Worked with Enron Corp. Legal to issue guaranty for contract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Managed EBS Contract Approval Form (CAF) process for transaction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Worked with EBS Tax, Legal, Accounting to capitalize EBS Japanese entity for payments to GAL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Worked with EBS Accounting to ensure payment processing to GAL’s accounts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Co-authored with Donald Lassere (Regulatory) a memo describing how to conduct bandwidth trading in Tokyo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Provided regular updates to my senior management and other EBS senior management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NTT Deal (cont.)  </w:t>
      </w:r>
    </w:p>
    <w:p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Arranged for NTT Communications visit to NOC in Portland </w:t>
      </w:r>
    </w:p>
    <w:p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Coordinated NOC tour, Network and Sales Engineering meetings and presentation, Portland meetings with dark fiber and construction teams</w:t>
      </w:r>
    </w:p>
    <w:p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Organized logistics of NTT representatives’ travel arrangements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Post-Rotation meetings with new EBS Asia-Pacific management  </w:t>
      </w:r>
    </w:p>
    <w:p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Met with Anthony Duenner to discuss past pursuits in Asia, including Tokyo Pooling Point, Korea, Singapore</w:t>
      </w:r>
    </w:p>
    <w:p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Met with Anthony Duenner, David Kistler, Bill White, and Roger Estrada to walk through Asia-Pacific rolodex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-182880</wp:posOffset>
                </wp:positionH>
                <wp:positionV relativeFrom="paragraph">
                  <wp:posOffset>98425</wp:posOffset>
                </wp:positionV>
                <wp:extent cx="722376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4.4pt,7.75pt" to="554.35pt,7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b/>
          <w:i/>
          <w:sz w:val="24"/>
        </w:rPr>
        <w:t>Enron Broadband Services U.S. Network Development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7"/>
        <w:ind w:hanging="0" w:start="0"/>
        <w:rPr>
          <w:b/>
        </w:rPr>
      </w:pPr>
      <w:r>
        <w:rPr>
          <w:b/>
        </w:rPr>
        <w:t>Responsibilities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Support four Directors in Network Development group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Discover leads for fiber sales of long network positions and purchases of fiber to complete network footprint</w:t>
      </w:r>
    </w:p>
    <w:p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Manage relationships with past customers for the group’s Directors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Prepare deal documents and company research 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Gather competitive market intelligence and relay to appropriate EBS teams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Coordinate multi-functional teams to advance transaction closures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Communicate transaction and related issues to bandwidth trading desk, IRU management team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start="0"/>
        <w:rPr>
          <w:b/>
        </w:rPr>
      </w:pPr>
      <w:r>
        <w:rPr>
          <w:b/>
        </w:rPr>
        <w:t>Significant Accomplishments /Projects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KMC Telecom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Key contact to KMC for potential Minneapolis duct and fiber swap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Managed relationship with Minneapolis and nationwide sales representatives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Worked with Structuring to complete term sheet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Managed internal discussions with IRU Management, Local Loop desk about need for Minneapolis presence and related Milwaukee swap with 360 Networks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Worked with Legal on LOI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With EBS Right of Way Director, negotiated with KMC for sale of city permits and duct to county in Minneapolis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Determined economics of deal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Analyzed issues with transferring permits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Working with desk to determine 2001 Tier 2 city needs to communicate to KMC, per KMC’s request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Because of good relationship with KMC, earned their referral to Nextlink/XO Communications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Pathnet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Wrote EBS response to RFP to nationwide network request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Gathered information from Desk, Field Operations, Real Estate, Legal, Competitive Intelligence, Credit, for RFP response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Allegiance Telecom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Originated nationwide fiber request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Participated in multiple conference calls with Allegiance to collect information related to their fiber needs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Communicated EBS network information to Allegiance through maps and subsequent discussions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Tycom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Responded to Tycom request for fiber and capacity nationwide to connect their undersea cable systems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Participated in several meetings in San Francisco at CompTel and other conference calls related to specific routes needed to complete nationwide network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Developed preliminary spreadsheet for deal transaction and estimated income</w:t>
      </w:r>
    </w:p>
    <w:p>
      <w:pPr>
        <w:pStyle w:val="Heading1"/>
        <w:numPr>
          <w:ilvl w:val="0"/>
          <w:numId w:val="12"/>
        </w:numPr>
        <w:rPr/>
      </w:pPr>
      <w:r>
        <w:rPr/>
        <w:t>Touch America in LA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Initiated papering process for Touch America deal in LA for 12 dark fibers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Worked with Legal and Structuring (MO) to create internal term sheet and subsequent IRU agreement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Worked with Pete Padrigo to identify status of associated colocation agreement 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Contacted Touch America’s Mark Maroney to communicate our status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Gathered information from Field Ops to determine outstanding charges for overtime and installation of Touch America equipment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Managing Legal’s progress on papering transaction</w:t>
      </w:r>
    </w:p>
    <w:p>
      <w:pPr>
        <w:pStyle w:val="Heading1"/>
        <w:numPr>
          <w:ilvl w:val="0"/>
          <w:numId w:val="12"/>
        </w:numPr>
        <w:rPr/>
      </w:pPr>
      <w:r>
        <w:rPr/>
        <w:t>Touch America in U.S. Northwest back-to-back deal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Trying to coordinate Minneapolis-Seattle request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Received fiber and capacity quotes for Chic-Seattle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Arranged for Portland meeting for further discussion of possibility of deal and other opportunities</w:t>
      </w:r>
    </w:p>
    <w:p>
      <w:pPr>
        <w:pStyle w:val="Heading1"/>
        <w:numPr>
          <w:ilvl w:val="0"/>
          <w:numId w:val="12"/>
        </w:numPr>
        <w:rPr/>
      </w:pPr>
      <w:r>
        <w:rPr/>
        <w:t>U.S. Carrier in U.S. Northwest back-to-back deal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Gathering needs for U.S. Carrier customer for Minneapolis to Seattle request 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Pursuing NDA</w:t>
      </w:r>
    </w:p>
    <w:p>
      <w:pPr>
        <w:pStyle w:val="Heading1"/>
        <w:numPr>
          <w:ilvl w:val="0"/>
          <w:numId w:val="12"/>
        </w:numPr>
        <w:rPr/>
      </w:pPr>
      <w:r>
        <w:rPr/>
        <w:t>TXU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Gathered information on TXU Dallas route and mapped it for back-to-back opportunity for Scott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Passed capacity opportunity to Dixie Yeck</w:t>
      </w:r>
    </w:p>
    <w:p>
      <w:pPr>
        <w:pStyle w:val="Heading1"/>
        <w:numPr>
          <w:ilvl w:val="0"/>
          <w:numId w:val="12"/>
        </w:numPr>
        <w:rPr/>
      </w:pPr>
      <w:r>
        <w:rPr/>
        <w:t>Bell South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Met with Bell South at CompTel to understand fiber needs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Made initial contact with dark fiber representative 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Working with Debbie Allen to coordinate efforts</w:t>
      </w:r>
    </w:p>
    <w:p>
      <w:pPr>
        <w:pStyle w:val="Heading1"/>
        <w:numPr>
          <w:ilvl w:val="0"/>
          <w:numId w:val="12"/>
        </w:numPr>
        <w:rPr/>
      </w:pPr>
      <w:r>
        <w:rPr/>
        <w:t>BTI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Managing relationship with BTI and their dark fiber needs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Passed capacity needs along to mid markets group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Level 3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Participated in several meetings in Denver, San Francisco, and conference calls related to specific routes needed to complete nationwide network</w:t>
      </w:r>
    </w:p>
    <w:p>
      <w:pPr>
        <w:pStyle w:val="Heading1"/>
        <w:numPr>
          <w:ilvl w:val="0"/>
          <w:numId w:val="12"/>
        </w:numPr>
        <w:rPr/>
      </w:pPr>
      <w:r>
        <w:rPr/>
        <w:t>TransNAP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Gathered information on nationwide network opportunity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Pursuing NDA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Adelphia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Set up original meeting for Portland cross-river duct deal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Giant Loop</w:t>
      </w:r>
    </w:p>
    <w:p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Managed relationship with Giant Loop – need for longhaul and metro fiber</w:t>
      </w:r>
    </w:p>
    <w:p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Pursuing NDA</w:t>
      </w:r>
    </w:p>
    <w:p>
      <w:pPr>
        <w:pStyle w:val="Heading1"/>
        <w:numPr>
          <w:ilvl w:val="0"/>
          <w:numId w:val="12"/>
        </w:numPr>
        <w:rPr/>
      </w:pPr>
      <w:r>
        <w:rPr/>
        <w:t>New Tera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Developed colocation and route miles spreadsheets for New Tera nationwide network opportunity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360" w:end="0"/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-182880</wp:posOffset>
                </wp:positionH>
                <wp:positionV relativeFrom="paragraph">
                  <wp:posOffset>-1905</wp:posOffset>
                </wp:positionV>
                <wp:extent cx="722376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4.4pt,-0.15pt" to="554.35pt,-0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7"/>
        <w:ind w:hanging="0" w:start="0"/>
        <w:rPr>
          <w:b/>
        </w:rPr>
      </w:pPr>
      <w:r>
        <w:rPr>
          <w:b/>
        </w:rPr>
        <w:t>OTHER RELATIONSHIPS MANAGED</w:t>
      </w:r>
    </w:p>
    <w:p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Phase 1 Brokers – shared with Desk</w:t>
      </w:r>
    </w:p>
    <w:p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Chapel Hill Brokers – shared with Desk</w:t>
      </w:r>
    </w:p>
    <w:p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NTS</w:t>
      </w:r>
    </w:p>
    <w:p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BPA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Managed all Customer Contact Center inquiries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Allegiance Telecom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Media Centers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Xtera Communications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Agilent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JFR Global Investments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MRE Consulting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Northstar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IDT Corp.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Onvoy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Broadband2Wireless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Macy’s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US Carrier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Covad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Media Centers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Lucent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Virginia Tech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Transnap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Atoga</w:t>
      </w:r>
    </w:p>
    <w:p>
      <w:pPr>
        <w:pStyle w:val="Heading7"/>
        <w:ind w:hanging="0" w:start="0"/>
        <w:rPr>
          <w:rFonts w:ascii="Arial" w:hAnsi="Arial" w:cs="Arial"/>
          <w:b/>
          <w:lang w:val="en-CA"/>
        </w:rPr>
      </w:pPr>
      <w:r>
        <w:rPr>
          <w:rFonts w:cs="Arial"/>
          <w:b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-182880</wp:posOffset>
                </wp:positionH>
                <wp:positionV relativeFrom="paragraph">
                  <wp:posOffset>44450</wp:posOffset>
                </wp:positionV>
                <wp:extent cx="722376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4.4pt,3.5pt" to="554.35pt,3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7"/>
        <w:ind w:hanging="0" w:start="0"/>
        <w:rPr>
          <w:b/>
        </w:rPr>
      </w:pPr>
      <w:r>
        <w:rPr>
          <w:b/>
        </w:rPr>
        <w:t xml:space="preserve">OTHER NOTED CONTRIBUTIONS 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Conducted research on various topics such as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KMC Telecom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Bonneville Power Authority (BPA)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NDAs executed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KMC Telecom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Allegiance Telecom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Chapel Hill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BTI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Competitive Intelligence Information Gathering: supplying maps, market intelligence from customers and suppliers – worked closely with Tracy Moreschi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No-A-Net maps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FPL maps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Allegiance maps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KMC maps and colo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Developing metro fiber request spreadsheet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Forwarded relevant press articles to team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Mapped addresses various opportunities for Scott 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Attended multiple air gap meetings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Organized meeting to discuss metro dark fiber requests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Arranged for meetings and organized schedule for CompTel Conference for Network Development team 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Working with Associate/Analyst program to get resumes for Kellie and Scott; screened resumes and candidates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Called meeting to discuss back-to-back deal strategies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Conducted research for Mitch on DTI and EPIK contracts related to LDs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Orienting Steve Baack on group activities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Managing Network Development relationship with Customer Contact Center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-182880</wp:posOffset>
                </wp:positionH>
                <wp:positionV relativeFrom="paragraph">
                  <wp:posOffset>48895</wp:posOffset>
                </wp:positionV>
                <wp:extent cx="7223760" cy="0"/>
                <wp:effectExtent l="0" t="5080" r="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4.4pt,3.85pt" to="554.35pt,3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7"/>
        <w:ind w:hanging="0" w:start="0"/>
        <w:rPr>
          <w:b/>
        </w:rPr>
      </w:pPr>
      <w:r>
        <w:rPr>
          <w:b/>
        </w:rPr>
        <w:t xml:space="preserve">TRADE SHOWS ATTENDED 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CLEC Expo, Denver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CompTel, San Francisco; Attended meetings with: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Touch America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Level 3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KMC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BTI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Evolution Networks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Bell South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Pathnet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Chapel Hill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Tycom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sz w:val="36"/>
          <w:lang w:val="en-CA"/>
        </w:rPr>
      </w:pPr>
      <w:r>
        <w:rPr>
          <w:rFonts w:cs="Arial" w:ascii="Arial" w:hAnsi="Arial"/>
          <w:b/>
          <w:sz w:val="3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-182880</wp:posOffset>
                </wp:positionH>
                <wp:positionV relativeFrom="paragraph">
                  <wp:posOffset>170180</wp:posOffset>
                </wp:positionV>
                <wp:extent cx="7223760" cy="0"/>
                <wp:effectExtent l="0" t="5080" r="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4.4pt,13.4pt" to="554.35pt,13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7"/>
        <w:ind w:hanging="0" w:start="0"/>
        <w:rPr>
          <w:b/>
        </w:rPr>
      </w:pPr>
      <w:r>
        <w:rPr>
          <w:b/>
        </w:rPr>
        <w:t xml:space="preserve">PARTICIPATION IN ENRON-SPONSORED EVENTS </w:t>
        <w:tab/>
        <w:t xml:space="preserve"> </w:t>
      </w:r>
    </w:p>
    <w:p>
      <w:pPr>
        <w:pStyle w:val="Normal"/>
        <w:numPr>
          <w:ilvl w:val="0"/>
          <w:numId w:val="16"/>
        </w:numPr>
        <w:rPr>
          <w:rFonts w:ascii="Arial" w:hAnsi="Arial" w:cs="Arial"/>
        </w:rPr>
      </w:pPr>
      <w:r>
        <w:rPr>
          <w:rFonts w:cs="Arial" w:ascii="Arial" w:hAnsi="Arial"/>
        </w:rPr>
        <w:t>Super Saturday December 2, 2000</w:t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Heading7"/>
        <w:ind w:hanging="0" w:start="0"/>
        <w:rPr>
          <w:b/>
        </w:rPr>
      </w:pPr>
      <w:r>
        <w:rPr>
          <w:b/>
        </w:rPr>
        <w:t>DEVELOPMENT POINTS</w:t>
        <w:tab/>
        <w:t>AND GOALS</w:t>
        <w:tab/>
        <w:t xml:space="preserve"> </w:t>
        <w:tab/>
        <w:tab/>
        <w:tab/>
        <w:tab/>
        <w:t xml:space="preserve"> </w:t>
      </w:r>
    </w:p>
    <w:p>
      <w:pPr>
        <w:pStyle w:val="Normal"/>
        <w:numPr>
          <w:ilvl w:val="0"/>
          <w:numId w:val="14"/>
        </w:numPr>
        <w:rPr/>
      </w:pPr>
      <w:r>
        <w:rPr>
          <w:rFonts w:cs="Arial" w:ascii="Arial" w:hAnsi="Arial"/>
          <w:color w:val="000000"/>
          <w:lang w:eastAsia="en-US"/>
        </w:rPr>
        <w:t>Continue to develop deep knowledge of dark fiber industry</w:t>
      </w:r>
    </w:p>
    <w:p>
      <w:pPr>
        <w:pStyle w:val="Normal"/>
        <w:numPr>
          <w:ilvl w:val="0"/>
          <w:numId w:val="14"/>
        </w:numPr>
        <w:rPr/>
      </w:pPr>
      <w:r>
        <w:rPr>
          <w:rFonts w:cs="Arial" w:ascii="Arial" w:hAnsi="Arial"/>
          <w:color w:val="000000"/>
          <w:lang w:eastAsia="en-US"/>
        </w:rPr>
        <w:t>Continue to develop relationships with potential customers of dark fiber inventory and nationwide footprint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ucida Sans Unicode">
    <w:charset w:val="00" w:characterSet="windows-1252"/>
    <w:family w:val="swiss"/>
    <w:pitch w:val="variable"/>
  </w:font>
  <w:font w:name="Book Antiqua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start="-720" w:end="0"/>
      <w:rPr>
        <w:rFonts w:ascii="Arial" w:hAnsi="Arial" w:cs="Arial"/>
        <w:i/>
        <w:i/>
      </w:rPr>
    </w:pPr>
    <w:r>
      <w:rPr>
        <w:rFonts w:cs="Arial" w:ascii="Arial" w:hAnsi="Arial"/>
        <w:i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rPr>
        <w:b/>
        <w:i/>
        <w:i/>
        <w:sz w:val="32"/>
      </w:rPr>
    </w:pPr>
    <w:r>
      <w:rPr>
        <w:b/>
        <w:i/>
        <w:sz w:val="32"/>
      </w:rPr>
      <w:t>Nicole Palczer</w:t>
    </w:r>
  </w:p>
  <w:p>
    <w:pPr>
      <w:pStyle w:val="Normal"/>
      <w:jc w:val="center"/>
      <w:rPr>
        <w:rFonts w:ascii="Arial" w:hAnsi="Arial" w:cs="Arial"/>
        <w:i/>
        <w:i/>
      </w:rPr>
    </w:pPr>
    <w:r>
      <w:rPr>
        <w:rFonts w:cs="Arial" w:ascii="Arial" w:hAnsi="Arial"/>
        <w:i/>
      </w:rPr>
      <w:t>Associate, Enron Broadband Services</w:t>
    </w:r>
  </w:p>
  <w:p>
    <w:pPr>
      <w:pStyle w:val="Heading4"/>
      <w:ind w:hanging="0" w:start="0"/>
      <w:rPr>
        <w:i/>
        <w:i/>
      </w:rPr>
    </w:pPr>
    <w:r>
      <w:rPr>
        <w:i/>
      </w:rPr>
      <w:t xml:space="preserve">Year-End 2000 PRC Review </w:t>
    </w:r>
  </w:p>
  <w:p>
    <w:pPr>
      <w:pStyle w:val="Heading4"/>
      <w:ind w:hanging="0" w:start="0"/>
      <w:rPr>
        <w:i/>
        <w:i/>
      </w:rPr>
    </w:pPr>
    <w:r>
      <w:rPr>
        <w:i/>
      </w:rPr>
      <w:t>Accomplishments and Responsibilities</w:t>
    </w:r>
  </w:p>
  <w:p>
    <w:pPr>
      <w:pStyle w:val="Normal"/>
      <w:rPr>
        <w:i/>
        <w:i/>
      </w:rPr>
    </w:pPr>
    <w:r>
      <w:rPr>
        <w:i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color w:val="auto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color w:val="auto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  <w:color w:val="auto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color w:val="auto"/>
      </w:rPr>
    </w:lvl>
  </w:abstractNum>
  <w:abstractNum w:abstractNumId="1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color w:val="auto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color w:val="auto"/>
      </w:rPr>
    </w:lvl>
  </w:abstractNum>
  <w:abstractNum w:abstractNumId="1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i/>
      <w:sz w:val="28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sz w:val="4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sz w:val="24"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  <w:color w:val="auto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Lucida Sans Unicode" w:hAnsi="Lucida Sans Unicode" w:cs="Book Antiqua;Times New Roman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  <w:color w:val="auto"/>
    </w:rPr>
  </w:style>
  <w:style w:type="character" w:styleId="WW8Num26z0">
    <w:name w:val="WW8Num26z0"/>
    <w:qFormat/>
    <w:rPr>
      <w:rFonts w:ascii="Wingdings" w:hAnsi="Wingdings" w:cs="Wingdings"/>
      <w:color w:val="auto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Lucida Sans Unicode" w:hAnsi="Lucida Sans Unicode" w:cs="Book Antiqua;Times New Roman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  <w:color w:val="auto"/>
      <w:sz w:val="18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Lucida Sans Unicode" w:hAnsi="Lucida Sans Unicode" w:cs="Book Antiqua;Times New Roman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  <w:color w:val="auto"/>
    </w:rPr>
  </w:style>
  <w:style w:type="character" w:styleId="WW8Num44z0">
    <w:name w:val="WW8Num44z0"/>
    <w:qFormat/>
    <w:rPr>
      <w:rFonts w:ascii="Lucida Sans Unicode" w:hAnsi="Lucida Sans Unicode" w:cs="Book Antiqua;Times New Roman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Wingdings" w:hAnsi="Wingdings" w:cs="Wingdings"/>
      <w:color w:val="auto"/>
    </w:rPr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9z0">
    <w:name w:val="WW8Num49z0"/>
    <w:qFormat/>
    <w:rPr>
      <w:rFonts w:ascii="Symbol" w:hAnsi="Symbol" w:cs="Symbol"/>
      <w:color w:val="auto"/>
      <w:sz w:val="18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color w:val="auto"/>
      <w:sz w:val="18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8z0">
    <w:name w:val="WW8Num58z0"/>
    <w:qFormat/>
    <w:rPr>
      <w:rFonts w:ascii="Lucida Sans Unicode" w:hAnsi="Lucida Sans Unicode" w:cs="Book Antiqua;Times New Roman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60z0">
    <w:name w:val="WW8Num60z0"/>
    <w:qFormat/>
    <w:rPr>
      <w:rFonts w:ascii="Wingdings" w:hAnsi="Wingdings" w:cs="Wingdings"/>
    </w:rPr>
  </w:style>
  <w:style w:type="character" w:styleId="WW8Num61z0">
    <w:name w:val="WW8Num61z0"/>
    <w:qFormat/>
    <w:rPr>
      <w:rFonts w:ascii="Wingdings" w:hAnsi="Wingdings" w:cs="Wingdings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Wingdings" w:hAnsi="Wingdings" w:cs="Wingdings"/>
      <w:sz w:val="16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Wingdings" w:hAnsi="Wingdings" w:cs="Wingdings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Wingdings" w:hAnsi="Wingdings" w:cs="Wingdings"/>
    </w:rPr>
  </w:style>
  <w:style w:type="character" w:styleId="WW8Num69z0">
    <w:name w:val="WW8Num69z0"/>
    <w:qFormat/>
    <w:rPr>
      <w:rFonts w:ascii="Wingdings" w:hAnsi="Wingdings" w:cs="Wingdings"/>
    </w:rPr>
  </w:style>
  <w:style w:type="character" w:styleId="WW8Num70z0">
    <w:name w:val="WW8Num70z0"/>
    <w:qFormat/>
    <w:rPr>
      <w:rFonts w:ascii="Symbol" w:hAnsi="Symbol" w:cs="Symbol"/>
      <w:color w:val="auto"/>
      <w:sz w:val="18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Wingdings" w:hAnsi="Wingdings" w:cs="Wingdings"/>
      <w:color w:val="auto"/>
    </w:rPr>
  </w:style>
  <w:style w:type="character" w:styleId="WW8Num73z0">
    <w:name w:val="WW8Num73z0"/>
    <w:qFormat/>
    <w:rPr>
      <w:rFonts w:ascii="Lucida Sans Unicode" w:hAnsi="Lucida Sans Unicode" w:cs="Book Antiqua;Times New Roman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6z0">
    <w:name w:val="WW8Num76z0"/>
    <w:qFormat/>
    <w:rPr>
      <w:rFonts w:ascii="Wingdings" w:hAnsi="Wingdings" w:cs="Wingdings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Wingdings" w:hAnsi="Wingdings" w:cs="Wingdings"/>
    </w:rPr>
  </w:style>
  <w:style w:type="character" w:styleId="WW8Num79z0">
    <w:name w:val="WW8Num79z0"/>
    <w:qFormat/>
    <w:rPr>
      <w:rFonts w:ascii="Wingdings" w:hAnsi="Wingdings" w:cs="Wingdings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Wingdings" w:hAnsi="Wingdings" w:cs="Wingdings"/>
    </w:rPr>
  </w:style>
  <w:style w:type="character" w:styleId="WW8Num83z0">
    <w:name w:val="WW8Num83z0"/>
    <w:qFormat/>
    <w:rPr>
      <w:rFonts w:ascii="Wingdings" w:hAnsi="Wingdings" w:cs="Wingdings"/>
    </w:rPr>
  </w:style>
  <w:style w:type="character" w:styleId="WW8Num84z0">
    <w:name w:val="WW8Num84z0"/>
    <w:qFormat/>
    <w:rPr>
      <w:rFonts w:ascii="Wingdings" w:hAnsi="Wingdings" w:cs="Wingdings"/>
    </w:rPr>
  </w:style>
  <w:style w:type="character" w:styleId="WW8Num85z0">
    <w:name w:val="WW8Num85z0"/>
    <w:qFormat/>
    <w:rPr>
      <w:rFonts w:ascii="Wingdings" w:hAnsi="Wingdings" w:cs="Wingdings"/>
      <w:color w:val="auto"/>
    </w:rPr>
  </w:style>
  <w:style w:type="character" w:styleId="WW8Num86z0">
    <w:name w:val="WW8Num86z0"/>
    <w:qFormat/>
    <w:rPr>
      <w:rFonts w:ascii="Wingdings" w:hAnsi="Wingdings" w:cs="Wingdings"/>
    </w:rPr>
  </w:style>
  <w:style w:type="character" w:styleId="WW8Num87z0">
    <w:name w:val="WW8Num87z0"/>
    <w:qFormat/>
    <w:rPr>
      <w:rFonts w:ascii="Wingdings" w:hAnsi="Wingdings" w:cs="Wingdings"/>
    </w:rPr>
  </w:style>
  <w:style w:type="character" w:styleId="WW8Num89z0">
    <w:name w:val="WW8Num89z0"/>
    <w:qFormat/>
    <w:rPr>
      <w:rFonts w:ascii="Wingdings" w:hAnsi="Wingdings" w:cs="Wingdings"/>
    </w:rPr>
  </w:style>
  <w:style w:type="character" w:styleId="WW8Num90z0">
    <w:name w:val="WW8Num90z0"/>
    <w:qFormat/>
    <w:rPr>
      <w:rFonts w:ascii="Wingdings" w:hAnsi="Wingdings" w:cs="Wingdings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  <w:color w:val="auto"/>
      <w:sz w:val="18"/>
    </w:rPr>
  </w:style>
  <w:style w:type="character" w:styleId="WW8Num93z0">
    <w:name w:val="WW8Num93z0"/>
    <w:qFormat/>
    <w:rPr>
      <w:rFonts w:ascii="Symbol" w:hAnsi="Symbol" w:cs="Symbol"/>
      <w:color w:val="auto"/>
      <w:sz w:val="18"/>
    </w:rPr>
  </w:style>
  <w:style w:type="character" w:styleId="WW8Num94z0">
    <w:name w:val="WW8Num94z0"/>
    <w:qFormat/>
    <w:rPr>
      <w:rFonts w:ascii="Symbol" w:hAnsi="Symbol" w:cs="Symbol"/>
    </w:rPr>
  </w:style>
  <w:style w:type="character" w:styleId="WW8Num95z0">
    <w:name w:val="WW8Num95z0"/>
    <w:qFormat/>
    <w:rPr>
      <w:rFonts w:ascii="Wingdings" w:hAnsi="Wingdings" w:cs="Wingdings"/>
      <w:color w:val="auto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8z0">
    <w:name w:val="WW8Num98z0"/>
    <w:qFormat/>
    <w:rPr>
      <w:rFonts w:ascii="Symbol" w:hAnsi="Symbol" w:cs="Symbol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100z0">
    <w:name w:val="WW8Num100z0"/>
    <w:qFormat/>
    <w:rPr>
      <w:rFonts w:ascii="Lucida Sans Unicode" w:hAnsi="Lucida Sans Unicode" w:cs="Book Antiqua;Times New Roman"/>
    </w:rPr>
  </w:style>
  <w:style w:type="character" w:styleId="WW8Num101z0">
    <w:name w:val="WW8Num101z0"/>
    <w:qFormat/>
    <w:rPr>
      <w:rFonts w:ascii="Wingdings" w:hAnsi="Wingdings" w:cs="Wingdings"/>
    </w:rPr>
  </w:style>
  <w:style w:type="character" w:styleId="WW8Num102z0">
    <w:name w:val="WW8Num102z0"/>
    <w:qFormat/>
    <w:rPr>
      <w:rFonts w:ascii="Wingdings" w:hAnsi="Wingdings" w:cs="Wingdings"/>
    </w:rPr>
  </w:style>
  <w:style w:type="character" w:styleId="WW8Num104z0">
    <w:name w:val="WW8Num104z0"/>
    <w:qFormat/>
    <w:rPr>
      <w:rFonts w:ascii="Lucida Sans Unicode" w:hAnsi="Lucida Sans Unicode" w:cs="Book Antiqua;Times New Roman"/>
    </w:rPr>
  </w:style>
  <w:style w:type="character" w:styleId="WW8Num105z0">
    <w:name w:val="WW8Num10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36"/>
    </w:rPr>
  </w:style>
  <w:style w:type="paragraph" w:styleId="BodyText">
    <w:name w:val="Body Text"/>
    <w:basedOn w:val="Normal"/>
    <w:pPr>
      <w:tabs>
        <w:tab w:val="clear" w:pos="720"/>
        <w:tab w:val="right" w:pos="10800" w:leader="none"/>
      </w:tabs>
    </w:pPr>
    <w:rPr>
      <w:rFonts w:ascii="Book Antiqua;Times New Roman" w:hAnsi="Book Antiqua;Times New Roman" w:cs="Book Antiqua;Times New Roman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2000-11-15T18:23:00Z</dcterms:created>
  <dc:creator>Nicole Palczer</dc:creator>
  <dc:description/>
  <dc:language>en-CA</dc:language>
  <cp:lastModifiedBy>nicole_palczer</cp:lastModifiedBy>
  <cp:lastPrinted>2000-11-15T14:10:00Z</cp:lastPrinted>
  <dcterms:modified xsi:type="dcterms:W3CDTF">2000-11-15T18:40:00Z</dcterms:modified>
  <cp:revision>9</cp:revision>
  <dc:subject/>
  <dc:title>Nicole Palczer</dc:title>
</cp:coreProperties>
</file>