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00"/>
          <w:sz w:val="18"/>
          <w:lang w:eastAsia="en-US"/>
        </w:rPr>
      </w:pPr>
      <w:r>
        <w:rPr>
          <w:rFonts w:cs="Arial" w:ascii="Arial" w:hAnsi="Arial"/>
          <w:b/>
          <w:color w:val="000000"/>
          <w:sz w:val="18"/>
          <w:lang w:eastAsia="en-US"/>
        </w:rPr>
        <w:t xml:space="preserve">Revised:  </w:t>
      </w:r>
      <w:r>
        <w:rPr>
          <w:rFonts w:cs="Arial" w:ascii="Arial" w:hAnsi="Arial"/>
          <w:b/>
          <w:color w:val="000000"/>
          <w:sz w:val="18"/>
          <w:lang w:eastAsia="en-US"/>
        </w:rPr>
        <w:fldChar w:fldCharType="begin"/>
      </w:r>
      <w:r>
        <w:rPr>
          <w:sz w:val="18"/>
          <w:b/>
          <w:rFonts w:cs="Arial" w:ascii="Arial" w:hAnsi="Arial"/>
          <w:color w:val="000000"/>
          <w:lang w:eastAsia="en-US"/>
        </w:rPr>
        <w:instrText xml:space="preserve"> DATE \@"M\/d\/yy\ H:mm\ AM/PM" </w:instrText>
      </w:r>
      <w:r>
        <w:rPr>
          <w:sz w:val="18"/>
          <w:b/>
          <w:rFonts w:cs="Arial" w:ascii="Arial" w:hAnsi="Arial"/>
          <w:color w:val="000000"/>
          <w:lang w:eastAsia="en-US"/>
        </w:rPr>
        <w:fldChar w:fldCharType="separate"/>
      </w:r>
      <w:r>
        <w:rPr>
          <w:sz w:val="18"/>
          <w:b/>
          <w:rFonts w:cs="Arial" w:ascii="Arial" w:hAnsi="Arial"/>
          <w:color w:val="000000"/>
          <w:lang w:eastAsia="en-US"/>
        </w:rPr>
        <w:t>9/28/25 7:49 AM</w:t>
      </w:r>
      <w:r>
        <w:rPr>
          <w:sz w:val="18"/>
          <w:b/>
          <w:rFonts w:cs="Arial" w:ascii="Arial" w:hAnsi="Arial"/>
          <w:color w:val="000000"/>
          <w:lang w:eastAsia="en-US"/>
        </w:rPr>
        <w:fldChar w:fldCharType="end"/>
      </w:r>
    </w:p>
    <w:p>
      <w:pPr>
        <w:pStyle w:val="Normal"/>
        <w:ind w:hanging="540" w:start="540" w:end="0"/>
        <w:rPr>
          <w:rFonts w:ascii="Arial" w:hAnsi="Arial" w:cs="Arial"/>
          <w:b/>
          <w:color w:val="000000"/>
          <w:sz w:val="18"/>
          <w:lang w:eastAsia="en-US"/>
        </w:rPr>
      </w:pPr>
      <w:r>
        <w:rPr>
          <w:rFonts w:cs="Arial" w:ascii="Arial" w:hAnsi="Arial"/>
          <w:b/>
          <w:color w:val="000000"/>
          <w:sz w:val="18"/>
          <w:lang w:eastAsia="en-US"/>
        </w:rPr>
      </w:r>
    </w:p>
    <w:p>
      <w:pPr>
        <w:pStyle w:val="Normal"/>
        <w:ind w:hanging="540" w:start="540" w:end="0"/>
        <w:rPr>
          <w:rFonts w:ascii="Arial" w:hAnsi="Arial" w:cs="Arial"/>
          <w:b/>
          <w:color w:val="000000"/>
          <w:sz w:val="28"/>
          <w:lang w:eastAsia="en-US"/>
        </w:rPr>
      </w:pPr>
      <w:r>
        <w:rPr>
          <w:rFonts w:cs="Arial" w:ascii="Arial" w:hAnsi="Arial"/>
          <w:b/>
          <w:color w:val="000000"/>
          <w:sz w:val="28"/>
          <w:lang w:eastAsia="en-US"/>
        </w:rPr>
        <w:t>ENRON, WASHINGTON</w:t>
      </w:r>
    </w:p>
    <w:p>
      <w:pPr>
        <w:pStyle w:val="Normal"/>
        <w:ind w:hanging="540" w:start="540" w:end="0"/>
        <w:rPr>
          <w:rFonts w:ascii="Arial" w:hAnsi="Arial" w:cs="Arial"/>
          <w:b/>
          <w:color w:val="000000"/>
          <w:sz w:val="28"/>
          <w:lang w:eastAsia="en-US"/>
        </w:rPr>
      </w:pPr>
      <w:r>
        <w:rPr>
          <w:rFonts w:cs="Arial" w:ascii="Arial" w:hAnsi="Arial"/>
          <w:b/>
          <w:color w:val="000000"/>
          <w:sz w:val="28"/>
          <w:lang w:eastAsia="en-US"/>
        </w:rPr>
        <w:t>MEMORANDUM</w:t>
      </w:r>
    </w:p>
    <w:p>
      <w:pPr>
        <w:pStyle w:val="Normal"/>
        <w:ind w:hanging="540" w:start="540" w:end="0"/>
        <w:rPr>
          <w:rFonts w:ascii="Arial" w:hAnsi="Arial" w:cs="Arial"/>
          <w:b/>
          <w:color w:val="000000"/>
          <w:sz w:val="22"/>
          <w:lang w:eastAsia="en-US"/>
        </w:rPr>
      </w:pPr>
      <w:r>
        <w:rPr>
          <w:rFonts w:cs="Arial" w:ascii="Arial" w:hAnsi="Arial"/>
          <w:b/>
          <w:color w:val="000000"/>
          <w:sz w:val="22"/>
          <w:lang w:eastAsia="en-US"/>
        </w:rPr>
      </w:r>
    </w:p>
    <w:p>
      <w:pPr>
        <w:pStyle w:val="Normal"/>
        <w:ind w:hanging="540" w:start="540" w:end="0"/>
        <w:rPr>
          <w:rFonts w:ascii="Arial" w:hAnsi="Arial" w:cs="Arial"/>
          <w:color w:val="000000"/>
          <w:sz w:val="22"/>
          <w:lang w:eastAsia="en-US"/>
        </w:rPr>
      </w:pPr>
      <w:r>
        <w:rPr>
          <w:rFonts w:cs="Arial" w:ascii="Arial" w:hAnsi="Arial"/>
          <w:color w:val="000000"/>
          <w:sz w:val="22"/>
          <w:lang w:eastAsia="en-US"/>
        </w:rPr>
        <w:t>TO:</w:t>
        <w:tab/>
        <w:tab/>
        <w:tab/>
        <w:tab/>
        <w:t>Steve Kean</w:t>
      </w:r>
    </w:p>
    <w:p>
      <w:pPr>
        <w:pStyle w:val="Normal"/>
        <w:ind w:hanging="540" w:start="540" w:end="0"/>
        <w:rPr>
          <w:rFonts w:ascii="Arial" w:hAnsi="Arial" w:cs="Arial"/>
          <w:color w:val="000000"/>
          <w:sz w:val="22"/>
          <w:lang w:eastAsia="en-US"/>
        </w:rPr>
      </w:pPr>
      <w:r>
        <w:rPr>
          <w:rFonts w:cs="Arial" w:ascii="Arial" w:hAnsi="Arial"/>
          <w:color w:val="000000"/>
          <w:sz w:val="22"/>
          <w:lang w:eastAsia="en-US"/>
        </w:rPr>
        <w:t>cc:</w:t>
        <w:tab/>
        <w:tab/>
        <w:tab/>
        <w:tab/>
        <w:t>Elizabeth Linnell</w:t>
      </w:r>
    </w:p>
    <w:p>
      <w:pPr>
        <w:pStyle w:val="Normal"/>
        <w:ind w:hanging="540" w:start="540" w:end="0"/>
        <w:rPr>
          <w:rFonts w:ascii="Arial" w:hAnsi="Arial" w:cs="Arial"/>
          <w:color w:val="000000"/>
          <w:sz w:val="22"/>
          <w:lang w:eastAsia="en-US"/>
        </w:rPr>
      </w:pPr>
      <w:r>
        <w:rPr>
          <w:rFonts w:cs="Arial" w:ascii="Arial" w:hAnsi="Arial"/>
          <w:color w:val="000000"/>
          <w:sz w:val="22"/>
          <w:lang w:eastAsia="en-US"/>
        </w:rPr>
        <w:tab/>
        <w:tab/>
        <w:tab/>
        <w:tab/>
        <w:t>Maureen McVicker</w:t>
      </w:r>
    </w:p>
    <w:p>
      <w:pPr>
        <w:pStyle w:val="Normal"/>
        <w:ind w:hanging="540" w:start="540" w:end="0"/>
        <w:rPr>
          <w:rFonts w:ascii="Arial" w:hAnsi="Arial" w:cs="Arial"/>
          <w:color w:val="000000"/>
          <w:sz w:val="22"/>
          <w:lang w:eastAsia="en-US"/>
        </w:rPr>
      </w:pPr>
      <w:r>
        <w:rPr>
          <w:rFonts w:cs="Arial" w:ascii="Arial" w:hAnsi="Arial"/>
          <w:color w:val="000000"/>
          <w:sz w:val="22"/>
          <w:lang w:eastAsia="en-US"/>
        </w:rPr>
        <w:t>FROM:</w:t>
        <w:tab/>
        <w:tab/>
        <w:tab/>
        <w:t>Washington Federal Government Affairs Office</w:t>
      </w:r>
    </w:p>
    <w:p>
      <w:pPr>
        <w:pStyle w:val="Normal"/>
        <w:ind w:hanging="540" w:start="540" w:end="0"/>
        <w:rPr>
          <w:rFonts w:ascii="Arial" w:hAnsi="Arial" w:cs="Arial"/>
          <w:color w:val="000000"/>
          <w:sz w:val="22"/>
          <w:lang w:eastAsia="en-US"/>
        </w:rPr>
      </w:pPr>
      <w:r>
        <w:rPr>
          <w:rFonts w:cs="Arial" w:ascii="Arial" w:hAnsi="Arial"/>
          <w:color w:val="000000"/>
          <w:sz w:val="22"/>
          <w:lang w:eastAsia="en-US"/>
        </w:rPr>
        <w:t>DATE:</w:t>
        <w:tab/>
        <w:tab/>
        <w:tab/>
        <w:t>July 21, 2000</w:t>
      </w:r>
    </w:p>
    <w:p>
      <w:pPr>
        <w:pStyle w:val="Normal"/>
        <w:ind w:hanging="540" w:start="540" w:end="0"/>
        <w:rPr/>
      </w:pPr>
      <w:r>
        <w:rPr>
          <w:rFonts w:cs="Arial" w:ascii="Arial" w:hAnsi="Arial"/>
          <w:color w:val="000000"/>
          <w:sz w:val="22"/>
          <w:lang w:eastAsia="en-US"/>
        </w:rPr>
        <w:t>RE:</w:t>
        <w:tab/>
        <w:tab/>
        <w:tab/>
        <w:tab/>
      </w:r>
      <w:r>
        <w:rPr>
          <w:rFonts w:cs="Arial" w:ascii="Arial" w:hAnsi="Arial"/>
          <w:b/>
          <w:color w:val="000000"/>
          <w:sz w:val="22"/>
          <w:lang w:eastAsia="en-US"/>
        </w:rPr>
        <w:t>Objectives for 1999-2000</w:t>
      </w:r>
    </w:p>
    <w:p>
      <w:pPr>
        <w:pStyle w:val="Normal"/>
        <w:ind w:hanging="540" w:start="540" w:end="0"/>
        <w:rPr/>
      </w:pPr>
      <w:r>
        <w:rPr>
          <w:rFonts w:cs="Arial" w:ascii="Arial" w:hAnsi="Arial"/>
          <w:b/>
          <w:color w:val="000000"/>
          <w:sz w:val="22"/>
          <w:lang w:eastAsia="en-US"/>
        </w:rPr>
        <w:tab/>
        <w:tab/>
        <w:tab/>
        <w:tab/>
        <w:t>Update – 106</w:t>
      </w:r>
      <w:r>
        <w:rPr>
          <w:rFonts w:cs="Arial" w:ascii="Arial" w:hAnsi="Arial"/>
          <w:b/>
          <w:color w:val="000000"/>
          <w:sz w:val="22"/>
          <w:vertAlign w:val="superscript"/>
          <w:lang w:eastAsia="en-US"/>
        </w:rPr>
        <w:t>th</w:t>
      </w:r>
      <w:r>
        <w:rPr>
          <w:rFonts w:cs="Arial" w:ascii="Arial" w:hAnsi="Arial"/>
          <w:b/>
          <w:color w:val="000000"/>
          <w:sz w:val="22"/>
          <w:lang w:eastAsia="en-US"/>
        </w:rPr>
        <w:t xml:space="preserve"> Congress</w:t>
      </w:r>
    </w:p>
    <w:p>
      <w:pPr>
        <w:pStyle w:val="Normal"/>
        <w:ind w:hanging="540" w:start="540" w:end="0"/>
        <w:rPr>
          <w:rFonts w:ascii="Arial" w:hAnsi="Arial" w:cs="Arial"/>
          <w:b/>
          <w:color w:val="000000"/>
          <w:sz w:val="22"/>
          <w:lang w:eastAsia="en-US"/>
        </w:rPr>
      </w:pPr>
      <w:r>
        <w:rPr>
          <w:rFonts w:cs="Arial" w:ascii="Arial" w:hAnsi="Arial"/>
          <w:b/>
          <w:color w:val="000000"/>
          <w:sz w:val="22"/>
          <w:lang w:eastAsia="en-US"/>
        </w:rPr>
      </w:r>
    </w:p>
    <w:p>
      <w:pPr>
        <w:pStyle w:val="Normal"/>
        <w:ind w:hanging="540" w:start="540" w:end="0"/>
        <w:rPr/>
      </w:pPr>
      <w:r>
        <w:rPr>
          <w:rFonts w:cs="Arial" w:ascii="Arial" w:hAnsi="Arial"/>
          <w:b/>
          <w:color w:val="000000"/>
          <w:sz w:val="28"/>
          <w:u w:val="single"/>
          <w:lang w:eastAsia="en-US"/>
        </w:rPr>
        <w:t>RESULTS:</w:t>
      </w:r>
      <w:r>
        <w:rPr>
          <w:rFonts w:cs="Arial" w:ascii="Arial" w:hAnsi="Arial"/>
          <w:b/>
          <w:color w:val="000000"/>
          <w:sz w:val="28"/>
          <w:lang w:eastAsia="en-US"/>
        </w:rPr>
        <w:tab/>
        <w:tab/>
      </w:r>
      <w:r>
        <w:rPr>
          <w:rFonts w:cs="Arial" w:ascii="Arial" w:hAnsi="Arial"/>
          <w:b/>
          <w:color w:val="000000"/>
          <w:sz w:val="28"/>
          <w:u w:val="single"/>
          <w:lang w:eastAsia="en-US"/>
        </w:rPr>
        <w:t>ISSUE:</w:t>
      </w:r>
    </w:p>
    <w:p>
      <w:pPr>
        <w:pStyle w:val="Heading4"/>
        <w:rPr/>
      </w:pPr>
      <w:r>
        <w:rPr>
          <w:u w:val="none"/>
        </w:rPr>
        <w:t>+</w:t>
        <w:tab/>
        <w:tab/>
        <w:tab/>
        <w:tab/>
      </w:r>
      <w:r>
        <w:rPr/>
        <w:t>Wind Production Tax Credit Extension</w:t>
      </w:r>
    </w:p>
    <w:p>
      <w:pPr>
        <w:pStyle w:val="Normal"/>
        <w:ind w:start="2160" w:end="0"/>
        <w:rPr/>
      </w:pPr>
      <w:r>
        <w:rPr>
          <w:rFonts w:cs="Arial" w:ascii="Arial" w:hAnsi="Arial"/>
          <w:color w:val="000000"/>
          <w:sz w:val="22"/>
          <w:lang w:eastAsia="en-US"/>
        </w:rPr>
        <w:t>Accomplished an 18-month extension; extension of credit required by the 107</w:t>
      </w:r>
      <w:r>
        <w:rPr>
          <w:rFonts w:cs="Arial" w:ascii="Arial" w:hAnsi="Arial"/>
          <w:color w:val="000000"/>
          <w:sz w:val="22"/>
          <w:vertAlign w:val="superscript"/>
          <w:lang w:eastAsia="en-US"/>
        </w:rPr>
        <w:t>th</w:t>
      </w:r>
      <w:r>
        <w:rPr>
          <w:rFonts w:cs="Arial" w:ascii="Arial" w:hAnsi="Arial"/>
          <w:color w:val="000000"/>
          <w:sz w:val="22"/>
          <w:lang w:eastAsia="en-US"/>
        </w:rPr>
        <w:t xml:space="preserve"> Congress.</w:t>
      </w:r>
    </w:p>
    <w:p>
      <w:pPr>
        <w:pStyle w:val="Normal"/>
        <w:ind w:start="2160" w:end="0"/>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t xml:space="preserve">Successfully mitigated </w:t>
      </w:r>
      <w:r>
        <w:rPr>
          <w:rFonts w:cs="Arial" w:ascii="Arial" w:hAnsi="Arial"/>
          <w:color w:val="000000"/>
          <w:sz w:val="22"/>
          <w:u w:val="single"/>
          <w:lang w:eastAsia="en-US"/>
        </w:rPr>
        <w:t>Audubon Condor</w:t>
      </w:r>
      <w:r>
        <w:rPr>
          <w:rFonts w:cs="Arial" w:ascii="Arial" w:hAnsi="Arial"/>
          <w:color w:val="000000"/>
          <w:sz w:val="22"/>
          <w:lang w:eastAsia="en-US"/>
        </w:rPr>
        <w:t xml:space="preserve"> political problem for Enron Wind at Tejon Ranch.</w:t>
      </w:r>
    </w:p>
    <w:p>
      <w:pPr>
        <w:pStyle w:val="Normal"/>
        <w:ind w:hanging="540" w:start="540" w:end="0"/>
        <w:rPr>
          <w:rFonts w:ascii="Arial" w:hAnsi="Arial" w:cs="Arial"/>
          <w:color w:val="000000"/>
          <w:sz w:val="22"/>
          <w:lang w:eastAsia="en-US"/>
        </w:rPr>
      </w:pPr>
      <w:r>
        <w:rPr>
          <w:rFonts w:cs="Arial" w:ascii="Arial" w:hAnsi="Arial"/>
          <w:color w:val="000000"/>
          <w:sz w:val="22"/>
          <w:lang w:eastAsia="en-US"/>
        </w:rPr>
      </w:r>
    </w:p>
    <w:p>
      <w:pPr>
        <w:pStyle w:val="Heading4"/>
        <w:ind w:hanging="0" w:start="0" w:end="0"/>
        <w:rPr/>
      </w:pPr>
      <w:r>
        <w:rPr>
          <w:u w:val="none"/>
        </w:rPr>
        <w:t>+</w:t>
        <w:tab/>
        <w:tab/>
        <w:tab/>
      </w:r>
      <w:r>
        <w:rPr/>
        <w:t>Tax Related Derivatives</w:t>
      </w:r>
    </w:p>
    <w:p>
      <w:pPr>
        <w:pStyle w:val="Normal"/>
        <w:ind w:start="2160" w:end="0"/>
        <w:rPr>
          <w:rFonts w:ascii="Arial" w:hAnsi="Arial" w:cs="Arial"/>
          <w:color w:val="000000"/>
          <w:sz w:val="22"/>
          <w:lang w:eastAsia="en-US"/>
        </w:rPr>
      </w:pPr>
      <w:r>
        <w:rPr>
          <w:rFonts w:cs="Arial" w:ascii="Arial" w:hAnsi="Arial"/>
          <w:color w:val="000000"/>
          <w:sz w:val="22"/>
          <w:lang w:eastAsia="en-US"/>
        </w:rPr>
        <w:t>Enacted derivatives tax provision to clarify capital gain and loss as ordinary income.</w:t>
      </w:r>
    </w:p>
    <w:p>
      <w:pPr>
        <w:pStyle w:val="Normal"/>
        <w:ind w:start="2160" w:end="0"/>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t xml:space="preserve">IRS private letter ruling request for </w:t>
      </w:r>
      <w:r>
        <w:rPr>
          <w:rFonts w:cs="Arial" w:ascii="Arial" w:hAnsi="Arial"/>
          <w:b/>
          <w:color w:val="000000"/>
          <w:sz w:val="22"/>
          <w:u w:val="single"/>
          <w:lang w:eastAsia="en-US"/>
        </w:rPr>
        <w:t>Contributions in Aid of Construction.</w:t>
      </w:r>
    </w:p>
    <w:p>
      <w:pPr>
        <w:pStyle w:val="Normal"/>
        <w:rPr>
          <w:rFonts w:ascii="Arial" w:hAnsi="Arial" w:cs="Arial"/>
          <w:b/>
          <w:color w:val="000000"/>
          <w:sz w:val="22"/>
          <w:u w:val="single"/>
          <w:lang w:eastAsia="en-US"/>
        </w:rPr>
      </w:pPr>
      <w:r>
        <w:rPr>
          <w:rFonts w:cs="Arial" w:ascii="Arial" w:hAnsi="Arial"/>
          <w:b/>
          <w:color w:val="000000"/>
          <w:sz w:val="22"/>
          <w:u w:val="single"/>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color w:val="000000"/>
          <w:sz w:val="22"/>
          <w:lang w:eastAsia="en-US"/>
        </w:rPr>
        <w:t>+</w:t>
      </w:r>
      <w:r>
        <w:rPr>
          <w:rFonts w:cs="Arial" w:ascii="Arial" w:hAnsi="Arial"/>
          <w:color w:val="000000"/>
          <w:sz w:val="22"/>
          <w:lang w:eastAsia="en-US"/>
        </w:rPr>
        <w:tab/>
        <w:tab/>
        <w:tab/>
      </w:r>
      <w:r>
        <w:rPr>
          <w:rFonts w:cs="Arial" w:ascii="Arial" w:hAnsi="Arial"/>
          <w:b/>
          <w:color w:val="000000"/>
          <w:sz w:val="22"/>
          <w:u w:val="single"/>
          <w:lang w:eastAsia="en-US"/>
        </w:rPr>
        <w:t>Fort Hamilton EFS</w:t>
      </w:r>
      <w:r>
        <w:rPr>
          <w:rFonts w:cs="Arial" w:ascii="Arial" w:hAnsi="Arial"/>
          <w:color w:val="000000"/>
          <w:sz w:val="22"/>
          <w:lang w:eastAsia="en-US"/>
        </w:rPr>
        <w:t xml:space="preserve"> successful political launch.</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r>
      <w:r>
        <w:rPr>
          <w:rFonts w:cs="Arial" w:ascii="Arial" w:hAnsi="Arial"/>
          <w:b/>
          <w:color w:val="000000"/>
          <w:sz w:val="22"/>
          <w:u w:val="single"/>
          <w:lang w:eastAsia="en-US"/>
        </w:rPr>
        <w:t>Commodity Exchange Act and CFTC</w:t>
      </w:r>
      <w:r>
        <w:rPr>
          <w:rFonts w:cs="Arial" w:ascii="Arial" w:hAnsi="Arial"/>
          <w:color w:val="000000"/>
          <w:sz w:val="22"/>
          <w:lang w:eastAsia="en-US"/>
        </w:rPr>
        <w:t>.  Enron amendment to House Agriculture Committee mark-up vehicle passed.</w:t>
      </w:r>
    </w:p>
    <w:p>
      <w:pPr>
        <w:pStyle w:val="Normal"/>
        <w:ind w:hanging="540" w:start="540" w:end="0"/>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Support Foreign Operations Appropriations fiscal year 2001 (OPIC, EX-IM, TDA)</w:t>
      </w:r>
    </w:p>
    <w:p>
      <w:pPr>
        <w:pStyle w:val="Normal"/>
        <w:ind w:hanging="540" w:start="540" w:end="0"/>
        <w:rPr>
          <w:rFonts w:ascii="Arial" w:hAnsi="Arial" w:cs="Arial"/>
          <w:b/>
          <w:color w:val="000000"/>
          <w:sz w:val="22"/>
          <w:u w:val="single"/>
          <w:lang w:eastAsia="en-US"/>
        </w:rPr>
      </w:pPr>
      <w:r>
        <w:rPr>
          <w:rFonts w:cs="Arial" w:ascii="Arial" w:hAnsi="Arial"/>
          <w:b/>
          <w:color w:val="000000"/>
          <w:sz w:val="22"/>
          <w:u w:val="single"/>
          <w:lang w:eastAsia="en-US"/>
        </w:rPr>
      </w:r>
    </w:p>
    <w:p>
      <w:pPr>
        <w:pStyle w:val="Normal"/>
        <w:ind w:hanging="2700" w:start="2700" w:end="0"/>
        <w:rPr/>
      </w:pPr>
      <w:r>
        <w:rPr>
          <w:rFonts w:cs="Arial" w:ascii="Arial" w:hAnsi="Arial"/>
          <w:b/>
          <w:color w:val="000000"/>
          <w:sz w:val="22"/>
          <w:lang w:eastAsia="en-US"/>
        </w:rPr>
        <w:t>+</w:t>
      </w:r>
      <w:r>
        <w:rPr>
          <w:rFonts w:cs="Arial" w:ascii="Arial" w:hAnsi="Arial"/>
          <w:color w:val="000000"/>
          <w:sz w:val="22"/>
          <w:lang w:eastAsia="en-US"/>
        </w:rPr>
        <w:tab/>
        <w:tab/>
        <w:t>(1) FY 2000 passed including a supplemental for Ex-Im covering their shortfall.  OPIC reauthorized for four years.</w:t>
      </w:r>
    </w:p>
    <w:p>
      <w:pPr>
        <w:pStyle w:val="Normal"/>
        <w:ind w:hanging="2160" w:start="2700" w:end="0"/>
        <w:rPr>
          <w:rFonts w:ascii="Arial" w:hAnsi="Arial" w:cs="Arial"/>
          <w:color w:val="000000"/>
          <w:sz w:val="22"/>
          <w:lang w:eastAsia="en-US"/>
        </w:rPr>
      </w:pPr>
      <w:r>
        <w:rPr>
          <w:rFonts w:cs="Arial" w:ascii="Arial" w:hAnsi="Arial"/>
          <w:color w:val="000000"/>
          <w:sz w:val="22"/>
          <w:lang w:eastAsia="en-US"/>
        </w:rPr>
      </w:r>
    </w:p>
    <w:p>
      <w:pPr>
        <w:pStyle w:val="Normal"/>
        <w:ind w:hanging="2700" w:start="2700" w:end="0"/>
        <w:rPr/>
      </w:pPr>
      <w:r>
        <w:rPr>
          <w:rFonts w:cs="Arial" w:ascii="Arial" w:hAnsi="Arial"/>
          <w:b/>
          <w:color w:val="000000"/>
          <w:sz w:val="22"/>
          <w:lang w:eastAsia="en-US"/>
        </w:rPr>
        <w:t>+</w:t>
      </w:r>
      <w:r>
        <w:rPr>
          <w:rFonts w:cs="Arial" w:ascii="Arial" w:hAnsi="Arial"/>
          <w:color w:val="000000"/>
          <w:sz w:val="22"/>
          <w:lang w:eastAsia="en-US"/>
        </w:rPr>
        <w:tab/>
        <w:t xml:space="preserve">   (2) Supported spending for emergency Colombia relief aid which was signed into law.</w:t>
      </w:r>
    </w:p>
    <w:p>
      <w:pPr>
        <w:pStyle w:val="BodyTextIndent"/>
        <w:ind w:start="2700" w:end="0"/>
        <w:rPr>
          <w:rFonts w:ascii="Arial" w:hAnsi="Arial" w:cs="Arial"/>
          <w:color w:val="000000"/>
          <w:sz w:val="22"/>
          <w:lang w:eastAsia="en-US"/>
        </w:rPr>
      </w:pPr>
      <w:r>
        <w:rPr>
          <w:rFonts w:cs="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VA-HUD</w:t>
      </w:r>
      <w:r>
        <w:rPr>
          <w:rFonts w:cs="Arial" w:ascii="Arial" w:hAnsi="Arial"/>
          <w:color w:val="000000"/>
          <w:sz w:val="22"/>
          <w:u w:val="single"/>
          <w:lang w:eastAsia="en-US"/>
        </w:rPr>
        <w:t xml:space="preserve"> </w:t>
      </w:r>
      <w:r>
        <w:rPr>
          <w:rFonts w:cs="Arial" w:ascii="Arial" w:hAnsi="Arial"/>
          <w:b/>
          <w:color w:val="000000"/>
          <w:sz w:val="22"/>
          <w:u w:val="single"/>
          <w:lang w:eastAsia="en-US"/>
        </w:rPr>
        <w:t>Appropriations</w:t>
      </w:r>
      <w:r>
        <w:rPr>
          <w:rFonts w:cs="Arial" w:ascii="Arial" w:hAnsi="Arial"/>
          <w:color w:val="000000"/>
          <w:sz w:val="22"/>
          <w:lang w:eastAsia="en-US"/>
        </w:rPr>
        <w:t xml:space="preserve"> for FY 01:  Passed the House.  $5 million appropriations to fund GISBE/EES Changing World Technology (CWT) pilot project.</w:t>
      </w:r>
    </w:p>
    <w:p>
      <w:pPr>
        <w:pStyle w:val="Normal"/>
        <w:ind w:start="2160" w:end="0"/>
        <w:rPr>
          <w:rFonts w:ascii="Arial" w:hAnsi="Arial" w:cs="Arial"/>
          <w:b/>
          <w:color w:val="000000"/>
          <w:sz w:val="22"/>
          <w:lang w:eastAsia="en-US"/>
        </w:rPr>
      </w:pPr>
      <w:r>
        <w:rPr>
          <w:rFonts w:cs="Arial" w:ascii="Arial" w:hAnsi="Arial"/>
          <w:b/>
          <w:color w:val="000000"/>
          <w:sz w:val="22"/>
          <w:lang w:eastAsia="en-US"/>
        </w:rPr>
      </w:r>
    </w:p>
    <w:p>
      <w:pPr>
        <w:pStyle w:val="Normal"/>
        <w:rPr/>
      </w:pPr>
      <w:r>
        <w:rPr>
          <w:rFonts w:cs="Arial" w:ascii="Arial" w:hAnsi="Arial"/>
          <w:b/>
          <w:color w:val="000000"/>
          <w:sz w:val="22"/>
          <w:lang w:eastAsia="en-US"/>
        </w:rPr>
        <w:t>+</w:t>
        <w:tab/>
        <w:tab/>
        <w:tab/>
      </w:r>
      <w:r>
        <w:rPr>
          <w:rFonts w:cs="Arial" w:ascii="Arial" w:hAnsi="Arial"/>
          <w:b/>
          <w:color w:val="000000"/>
          <w:sz w:val="22"/>
          <w:u w:val="single"/>
          <w:lang w:eastAsia="en-US"/>
        </w:rPr>
        <w:t>Trade Sanctions</w:t>
      </w:r>
    </w:p>
    <w:p>
      <w:pPr>
        <w:pStyle w:val="BodyTextIndent"/>
        <w:rPr/>
      </w:pPr>
      <w:r>
        <w:rPr/>
        <w:t>Permanent exemption for India enacted into law.  Currently, negative legislation regarding China is pending Senate action that Enron opposes.</w:t>
      </w:r>
    </w:p>
    <w:p>
      <w:pPr>
        <w:pStyle w:val="Normal"/>
        <w:ind w:start="2160" w:end="0"/>
        <w:rPr>
          <w:rFonts w:ascii="Arial" w:hAnsi="Arial" w:cs="Arial"/>
          <w:color w:val="000000"/>
          <w:sz w:val="22"/>
          <w:lang w:eastAsia="en-US"/>
        </w:rPr>
      </w:pPr>
      <w:r>
        <w:rPr>
          <w:rFonts w:cs="Arial" w:ascii="Arial" w:hAnsi="Arial"/>
          <w:color w:val="000000"/>
          <w:sz w:val="22"/>
          <w:lang w:eastAsia="en-US"/>
        </w:rPr>
        <w:t>Azerbaijan – removal of Section 907 sanctions.  Enron no longer has an interest.</w:t>
      </w:r>
    </w:p>
    <w:p>
      <w:pPr>
        <w:pStyle w:val="Normal"/>
        <w:ind w:start="2160" w:end="0"/>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BodyText3"/>
        <w:rPr/>
      </w:pPr>
      <w:r>
        <w:rPr>
          <w:u w:val="none"/>
        </w:rPr>
        <w:t>+</w:t>
        <w:tab/>
        <w:tab/>
        <w:tab/>
      </w:r>
      <w:r>
        <w:rPr/>
        <w:t>MTBE Duty Drawback which benefits Enron $2 million</w:t>
      </w:r>
      <w:r>
        <w:rPr>
          <w:u w:val="none"/>
        </w:rPr>
        <w:t>.</w:t>
      </w:r>
    </w:p>
    <w:p>
      <w:pPr>
        <w:pStyle w:val="Normal"/>
        <w:ind w:start="2160" w:end="0"/>
        <w:rPr>
          <w:rFonts w:ascii="Arial" w:hAnsi="Arial" w:cs="Arial"/>
          <w:color w:val="000000"/>
          <w:sz w:val="22"/>
          <w:lang w:eastAsia="en-US"/>
        </w:rPr>
      </w:pPr>
      <w:r>
        <w:rPr>
          <w:rFonts w:cs="Arial" w:ascii="Arial" w:hAnsi="Arial"/>
          <w:color w:val="000000"/>
          <w:sz w:val="22"/>
          <w:lang w:eastAsia="en-US"/>
        </w:rPr>
        <w:t>Annually enacted into law.  Additional benefits contained in miscellaneous trade/tariff package is currently moving through Congress.</w:t>
      </w:r>
    </w:p>
    <w:p>
      <w:pPr>
        <w:pStyle w:val="Normal"/>
        <w:rPr>
          <w:rFonts w:ascii="Arial" w:hAnsi="Arial" w:cs="Arial"/>
          <w:color w:val="000000"/>
          <w:sz w:val="22"/>
          <w:lang w:eastAsia="en-US"/>
        </w:rPr>
      </w:pPr>
      <w:r>
        <w:rPr>
          <w:rFonts w:cs="Arial" w:ascii="Arial" w:hAnsi="Arial"/>
          <w:color w:val="000000"/>
          <w:sz w:val="22"/>
          <w:lang w:eastAsia="en-US"/>
        </w:rPr>
      </w:r>
    </w:p>
    <w:p>
      <w:pPr>
        <w:pStyle w:val="BodyText3"/>
        <w:ind w:hanging="2160" w:start="2160" w:end="0"/>
        <w:rPr/>
      </w:pPr>
      <w:r>
        <w:rPr>
          <w:u w:val="none"/>
        </w:rPr>
        <w:t>+</w:t>
        <w:tab/>
      </w:r>
      <w:r>
        <w:rPr/>
        <w:t>Africa Growth &amp; Opportunity Act was enacted into law.  Leadership taken by Enron.  The Caribbean Basin Initiative was included as part of this legislation.</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BodyText3"/>
        <w:ind w:hanging="2160" w:start="2160" w:end="0"/>
        <w:rPr/>
      </w:pPr>
      <w:r>
        <w:rPr>
          <w:u w:val="none"/>
        </w:rPr>
        <w:t>+</w:t>
        <w:tab/>
      </w:r>
      <w:r>
        <w:rPr/>
        <w:t>Jackson-Vanik waiver to facilitate trade with Vietnam allowing US export credit agencies to consider project support was enacted into law in 1999.  US-Vietnam bilateral trade agreement.  Enron no longer has an interest.</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sz w:val="22"/>
        </w:rPr>
        <w:t>+</w:t>
        <w:tab/>
      </w:r>
      <w:r>
        <w:rPr>
          <w:rFonts w:cs="Arial" w:ascii="Arial" w:hAnsi="Arial"/>
          <w:sz w:val="22"/>
        </w:rPr>
        <w:t>Assisted CUBR’s political agenda and likely secured appointment of DOE Blue Ribbon Panel Report.</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rPr>
        <w:t>+</w:t>
        <w:tab/>
        <w:tab/>
        <w:tab/>
      </w:r>
      <w:r>
        <w:rPr>
          <w:rFonts w:cs="Arial" w:ascii="Arial" w:hAnsi="Arial"/>
          <w:b/>
          <w:sz w:val="22"/>
          <w:u w:val="single"/>
        </w:rPr>
        <w:t>Technology For All</w:t>
      </w:r>
      <w:r>
        <w:rPr>
          <w:rFonts w:cs="Arial" w:ascii="Arial" w:hAnsi="Arial"/>
          <w:sz w:val="22"/>
        </w:rPr>
        <w:t xml:space="preserve"> assisted political meetings and launch.</w:t>
      </w:r>
    </w:p>
    <w:p>
      <w:pPr>
        <w:pStyle w:val="Normal"/>
        <w:ind w:start="2160" w:end="0"/>
        <w:rPr/>
      </w:pPr>
      <w:r>
        <w:rPr>
          <w:rFonts w:cs="Arial" w:ascii="Arial" w:hAnsi="Arial"/>
          <w:sz w:val="22"/>
        </w:rPr>
        <w:t xml:space="preserve">Hill briefings with </w:t>
      </w:r>
      <w:r>
        <w:rPr>
          <w:rFonts w:cs="Arial" w:ascii="Arial" w:hAnsi="Arial"/>
          <w:b/>
          <w:sz w:val="22"/>
          <w:u w:val="single"/>
        </w:rPr>
        <w:t>Internet Caucus</w:t>
      </w:r>
      <w:r>
        <w:rPr>
          <w:rFonts w:cs="Arial" w:ascii="Arial" w:hAnsi="Arial"/>
          <w:sz w:val="22"/>
        </w:rPr>
        <w:t xml:space="preserve">, </w:t>
      </w:r>
      <w:r>
        <w:rPr>
          <w:rFonts w:cs="Arial" w:ascii="Arial" w:hAnsi="Arial"/>
          <w:b/>
          <w:sz w:val="22"/>
          <w:u w:val="single"/>
        </w:rPr>
        <w:t>Joe Hirko</w:t>
      </w:r>
      <w:r>
        <w:rPr>
          <w:rFonts w:cs="Arial" w:ascii="Arial" w:hAnsi="Arial"/>
          <w:sz w:val="22"/>
        </w:rPr>
        <w:t xml:space="preserve"> introduction.</w:t>
      </w:r>
    </w:p>
    <w:p>
      <w:pPr>
        <w:pStyle w:val="Normal"/>
        <w:ind w:start="2160" w:end="0"/>
        <w:rPr>
          <w:rFonts w:ascii="Arial" w:hAnsi="Arial" w:cs="Arial"/>
          <w:color w:val="000000"/>
          <w:sz w:val="22"/>
          <w:lang w:eastAsia="en-US"/>
        </w:rPr>
      </w:pPr>
      <w:r>
        <w:rPr>
          <w:rFonts w:cs="Arial" w:ascii="Arial" w:hAnsi="Arial"/>
          <w:b/>
          <w:sz w:val="22"/>
          <w:u w:val="single"/>
        </w:rPr>
        <w:t>Richard Tabors</w:t>
      </w:r>
      <w:r>
        <w:rPr>
          <w:rFonts w:cs="Arial" w:ascii="Arial" w:hAnsi="Arial"/>
          <w:sz w:val="22"/>
        </w:rPr>
        <w:t xml:space="preserve"> Hill briefing.</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Congressional staff trip to Houston</w:t>
      </w:r>
      <w:r>
        <w:rPr>
          <w:rFonts w:cs="Arial" w:ascii="Arial" w:hAnsi="Arial"/>
          <w:color w:val="000000"/>
          <w:sz w:val="22"/>
          <w:lang w:eastAsia="en-US"/>
        </w:rPr>
        <w:t xml:space="preserve"> to educate key staffers on electricity policy.</w:t>
      </w:r>
    </w:p>
    <w:p>
      <w:pPr>
        <w:pStyle w:val="Normal"/>
        <w:ind w:hanging="2160" w:start="2160" w:end="0"/>
        <w:rPr>
          <w:rFonts w:ascii="Arial" w:hAnsi="Arial" w:cs="Arial"/>
          <w:color w:val="000000"/>
          <w:sz w:val="22"/>
          <w:lang w:eastAsia="en-US"/>
        </w:rPr>
      </w:pPr>
      <w:r>
        <w:rPr>
          <w:rFonts w:cs="Arial" w:ascii="Arial" w:hAnsi="Arial"/>
          <w:color w:val="000000"/>
          <w:sz w:val="22"/>
          <w:lang w:eastAsia="en-US"/>
        </w:rPr>
      </w:r>
    </w:p>
    <w:p>
      <w:pPr>
        <w:pStyle w:val="Normal"/>
        <w:ind w:start="2160" w:end="0"/>
        <w:rPr>
          <w:rFonts w:ascii="Arial" w:hAnsi="Arial" w:cs="Arial"/>
          <w:b/>
          <w:color w:val="000000"/>
          <w:sz w:val="22"/>
          <w:u w:val="single"/>
          <w:lang w:eastAsia="en-US"/>
        </w:rPr>
      </w:pPr>
      <w:r>
        <w:rPr>
          <w:rFonts w:cs="Arial" w:ascii="Arial" w:hAnsi="Arial"/>
          <w:b/>
          <w:color w:val="000000"/>
          <w:sz w:val="22"/>
          <w:u w:val="single"/>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Congressional Enron Field</w:t>
      </w:r>
      <w:r>
        <w:rPr>
          <w:rFonts w:cs="Arial" w:ascii="Arial" w:hAnsi="Arial"/>
          <w:color w:val="000000"/>
          <w:sz w:val="22"/>
          <w:lang w:eastAsia="en-US"/>
        </w:rPr>
        <w:t xml:space="preserve"> opening; VIP event planned, hosted and implemented.</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color w:val="000000"/>
          <w:sz w:val="22"/>
          <w:lang w:eastAsia="en-US"/>
        </w:rPr>
        <w:t>+</w:t>
      </w:r>
      <w:r>
        <w:rPr>
          <w:rFonts w:cs="Arial" w:ascii="Arial" w:hAnsi="Arial"/>
          <w:color w:val="000000"/>
          <w:sz w:val="22"/>
          <w:lang w:eastAsia="en-US"/>
        </w:rPr>
        <w:tab/>
        <w:tab/>
        <w:tab/>
      </w:r>
      <w:r>
        <w:rPr>
          <w:rFonts w:cs="Arial" w:ascii="Arial" w:hAnsi="Arial"/>
          <w:b/>
          <w:color w:val="000000"/>
          <w:sz w:val="22"/>
          <w:u w:val="single"/>
          <w:lang w:eastAsia="en-US"/>
        </w:rPr>
        <w:t>Congressional CFTC/CEA</w:t>
      </w:r>
      <w:r>
        <w:rPr>
          <w:rFonts w:cs="Arial" w:ascii="Arial" w:hAnsi="Arial"/>
          <w:color w:val="000000"/>
          <w:sz w:val="22"/>
          <w:lang w:eastAsia="en-US"/>
        </w:rPr>
        <w:t xml:space="preserve"> tours.</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Successful PAC strategy</w:t>
      </w:r>
      <w:r>
        <w:rPr>
          <w:rFonts w:cs="Arial" w:ascii="Arial" w:hAnsi="Arial"/>
          <w:color w:val="000000"/>
          <w:sz w:val="22"/>
          <w:lang w:eastAsia="en-US"/>
        </w:rPr>
        <w:t xml:space="preserve"> for federal candidates planned and implemented.</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Heading5"/>
        <w:ind w:hanging="0" w:start="0"/>
        <w:rPr/>
      </w:pPr>
      <w:r>
        <w:rPr>
          <w:u w:val="none"/>
        </w:rPr>
        <w:t>+</w:t>
        <w:tab/>
        <w:tab/>
        <w:tab/>
      </w:r>
      <w:r>
        <w:rPr/>
        <w:t>National Political Conventions</w:t>
      </w:r>
    </w:p>
    <w:p>
      <w:pPr>
        <w:pStyle w:val="Normal"/>
        <w:ind w:start="2160" w:end="0"/>
        <w:rPr>
          <w:rFonts w:ascii="Arial" w:hAnsi="Arial" w:cs="Arial"/>
          <w:color w:val="000000"/>
          <w:sz w:val="22"/>
          <w:lang w:eastAsia="en-US"/>
        </w:rPr>
      </w:pPr>
      <w:r>
        <w:rPr>
          <w:rFonts w:cs="Arial" w:ascii="Arial" w:hAnsi="Arial"/>
          <w:color w:val="000000"/>
          <w:sz w:val="22"/>
          <w:lang w:eastAsia="en-US"/>
        </w:rPr>
        <w:t>Established the Enron participation group for upcoming conventions.</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USG Support for Enron global interests</w:t>
      </w:r>
      <w:r>
        <w:rPr>
          <w:rFonts w:cs="Arial" w:ascii="Arial" w:hAnsi="Arial"/>
          <w:color w:val="000000"/>
          <w:sz w:val="22"/>
          <w:lang w:eastAsia="en-US"/>
        </w:rPr>
        <w:t xml:space="preserve"> including Brazil, Bolivia, Nigeria, Korea, Japan, India, Mexico, Mozambique, Venezuela, Colombia, Panama, China and the Middle East.</w:t>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tab/>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Electronic Signatures Legislation</w:t>
      </w:r>
      <w:r>
        <w:rPr>
          <w:rFonts w:cs="Arial" w:ascii="Arial" w:hAnsi="Arial"/>
          <w:b/>
          <w:color w:val="000000"/>
          <w:sz w:val="22"/>
          <w:lang w:eastAsia="en-US"/>
        </w:rPr>
        <w:t xml:space="preserve"> </w:t>
      </w:r>
      <w:r>
        <w:rPr>
          <w:rFonts w:cs="Arial" w:ascii="Arial" w:hAnsi="Arial"/>
          <w:color w:val="000000"/>
          <w:sz w:val="22"/>
          <w:lang w:eastAsia="en-US"/>
        </w:rPr>
        <w:t>enacted</w:t>
      </w:r>
      <w:r>
        <w:rPr>
          <w:rFonts w:cs="Arial" w:ascii="Arial" w:hAnsi="Arial"/>
          <w:b/>
          <w:color w:val="000000"/>
          <w:sz w:val="22"/>
          <w:lang w:eastAsia="en-US"/>
        </w:rPr>
        <w:t>.</w:t>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tab/>
      </w:r>
      <w:r>
        <w:rPr>
          <w:rFonts w:cs="Arial" w:ascii="Arial" w:hAnsi="Arial"/>
          <w:sz w:val="22"/>
        </w:rPr>
        <w:t>Protect and encourage legal standing of electronic signatures.</w:t>
      </w:r>
      <w:r>
        <w:br w:type="page"/>
      </w:r>
    </w:p>
    <w:p>
      <w:pPr>
        <w:pStyle w:val="Normal"/>
        <w:rPr>
          <w:rFonts w:ascii="Arial" w:hAnsi="Arial" w:cs="Arial"/>
          <w:b/>
          <w:color w:val="000000"/>
          <w:sz w:val="22"/>
          <w:lang w:eastAsia="en-US"/>
        </w:rPr>
      </w:pPr>
      <w:r>
        <w:rPr>
          <w:rFonts w:cs="Arial" w:ascii="Arial" w:hAnsi="Arial"/>
          <w:b/>
          <w:color w:val="000000"/>
          <w:sz w:val="22"/>
          <w:lang w:eastAsia="en-US"/>
        </w:rPr>
      </w:r>
    </w:p>
    <w:p>
      <w:pPr>
        <w:pStyle w:val="Heading4"/>
        <w:rPr/>
      </w:pPr>
      <w:r>
        <w:rPr/>
        <w:t>PENDING ITEMS</w:t>
      </w:r>
    </w:p>
    <w:p>
      <w:pPr>
        <w:pStyle w:val="Heading4"/>
        <w:ind w:firstLine="180" w:start="1980" w:end="0"/>
        <w:rPr/>
      </w:pPr>
      <w:r>
        <w:rPr/>
      </w:r>
    </w:p>
    <w:p>
      <w:pPr>
        <w:pStyle w:val="Heading4"/>
        <w:ind w:firstLine="180" w:start="1980" w:end="0"/>
        <w:rPr/>
      </w:pPr>
      <w:r>
        <w:rPr/>
        <w:t>Foreign Tax Simplification</w:t>
      </w:r>
    </w:p>
    <w:p>
      <w:pPr>
        <w:pStyle w:val="Normal"/>
        <w:ind w:start="2160" w:end="0"/>
        <w:rPr>
          <w:rFonts w:ascii="Arial" w:hAnsi="Arial" w:cs="Arial"/>
          <w:color w:val="000000"/>
          <w:sz w:val="22"/>
          <w:lang w:eastAsia="en-US"/>
        </w:rPr>
      </w:pPr>
      <w:r>
        <w:rPr>
          <w:rFonts w:cs="Arial" w:ascii="Arial" w:hAnsi="Arial"/>
          <w:color w:val="000000"/>
          <w:sz w:val="22"/>
          <w:lang w:eastAsia="en-US"/>
        </w:rPr>
        <w:t>Three of four Enron proposals cleared Congress but were vetoed by the President.  Possible inclusion in end-of-the-year tax package.</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
    </w:p>
    <w:p>
      <w:pPr>
        <w:pStyle w:val="BodyText3"/>
        <w:ind w:hanging="2160" w:start="2160" w:end="0"/>
        <w:rPr/>
      </w:pPr>
      <w:r>
        <w:rPr>
          <w:u w:val="none"/>
        </w:rPr>
        <w:t>+</w:t>
        <w:tab/>
      </w:r>
      <w:r>
        <w:rPr/>
        <w:t>Tax regulations on Congressional action regarding a possible penalty for existing hybrid transactions related to Treasury notice 98-11.</w:t>
      </w:r>
    </w:p>
    <w:p>
      <w:pPr>
        <w:pStyle w:val="BodyText3"/>
        <w:ind w:hanging="2160" w:start="2160" w:end="0"/>
        <w:rPr>
          <w:b w:val="false"/>
          <w:u w:val="none"/>
        </w:rPr>
      </w:pPr>
      <w:r>
        <w:rPr>
          <w:b w:val="false"/>
          <w:u w:val="none"/>
        </w:rPr>
      </w:r>
    </w:p>
    <w:p>
      <w:pPr>
        <w:pStyle w:val="BodyText3"/>
        <w:ind w:hanging="2160" w:start="2160" w:end="0"/>
        <w:rPr/>
      </w:pPr>
      <w:r>
        <w:rPr>
          <w:u w:val="none"/>
        </w:rPr>
        <w:t>+</w:t>
      </w:r>
      <w:r>
        <w:rPr>
          <w:b w:val="false"/>
          <w:u w:val="none"/>
        </w:rPr>
        <w:tab/>
      </w:r>
      <w:r>
        <w:rPr/>
        <w:t>BPA appropriations rider</w:t>
      </w:r>
      <w:r>
        <w:rPr>
          <w:u w:val="none"/>
        </w:rPr>
        <w:t xml:space="preserve"> approved to enable their RTO participation.</w:t>
      </w:r>
    </w:p>
    <w:p>
      <w:pPr>
        <w:pStyle w:val="Normal"/>
        <w:rPr>
          <w:u w:val="none"/>
        </w:rPr>
      </w:pPr>
      <w:r>
        <w:rPr>
          <w:u w:val="none"/>
        </w:rPr>
      </w:r>
    </w:p>
    <w:p>
      <w:pPr>
        <w:pStyle w:val="Normal"/>
        <w:rPr/>
      </w:pPr>
      <w:r>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Support Foreign Operations Appropriations fiscal year 2001 (OPIC, EX-IM, TDA)</w:t>
      </w:r>
    </w:p>
    <w:p>
      <w:pPr>
        <w:pStyle w:val="Normal"/>
        <w:ind w:hanging="540" w:start="540" w:end="0"/>
        <w:rPr>
          <w:rFonts w:ascii="Arial" w:hAnsi="Arial" w:cs="Arial"/>
          <w:b/>
          <w:color w:val="000000"/>
          <w:sz w:val="22"/>
          <w:u w:val="single"/>
          <w:lang w:eastAsia="en-US"/>
        </w:rPr>
      </w:pPr>
      <w:r>
        <w:rPr>
          <w:rFonts w:cs="Arial" w:ascii="Arial" w:hAnsi="Arial"/>
          <w:b/>
          <w:color w:val="000000"/>
          <w:sz w:val="22"/>
          <w:u w:val="single"/>
          <w:lang w:eastAsia="en-US"/>
        </w:rPr>
      </w:r>
    </w:p>
    <w:p>
      <w:pPr>
        <w:pStyle w:val="BodyTextIndent"/>
        <w:ind w:start="2700" w:end="0"/>
        <w:rPr/>
      </w:pPr>
      <w:r>
        <w:rPr/>
        <w:t>(1) FY 2001 – Passed House and pending Senate action.  Urging Senate to restore cuts to Ex-Im made in the House bill.</w:t>
      </w:r>
    </w:p>
    <w:p>
      <w:pPr>
        <w:pStyle w:val="Normal"/>
        <w:rPr/>
      </w:pPr>
      <w:r>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China – PNTR (Permanent Normal Trade Relations)</w:t>
      </w:r>
      <w:r>
        <w:rPr>
          <w:rFonts w:cs="Arial" w:ascii="Arial" w:hAnsi="Arial"/>
          <w:color w:val="000000"/>
          <w:sz w:val="22"/>
          <w:u w:val="single"/>
          <w:lang w:eastAsia="en-US"/>
        </w:rPr>
        <w:t xml:space="preserve"> </w:t>
      </w:r>
      <w:r>
        <w:rPr>
          <w:rFonts w:cs="Arial" w:ascii="Arial" w:hAnsi="Arial"/>
          <w:color w:val="000000"/>
          <w:sz w:val="22"/>
          <w:lang w:eastAsia="en-US"/>
        </w:rPr>
        <w:t>passed the House and pending in the Senate.  Would facilitate China’s entry into the WTO.</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start="2160" w:end="0"/>
        <w:rPr>
          <w:rFonts w:ascii="Arial" w:hAnsi="Arial" w:cs="Arial"/>
          <w:color w:val="000000"/>
          <w:sz w:val="22"/>
          <w:lang w:eastAsia="en-US"/>
        </w:rPr>
      </w:pPr>
      <w:r>
        <w:rPr>
          <w:rFonts w:cs="Arial" w:ascii="Arial" w:hAnsi="Arial"/>
          <w:color w:val="000000"/>
          <w:sz w:val="22"/>
          <w:lang w:eastAsia="en-US"/>
        </w:rPr>
      </w:r>
    </w:p>
    <w:p>
      <w:pPr>
        <w:pStyle w:val="BodyText3"/>
        <w:ind w:firstLine="720" w:start="1440" w:end="0"/>
        <w:rPr/>
      </w:pPr>
      <w:r>
        <w:rPr/>
        <w:t>MTBE</w:t>
      </w:r>
      <w:r>
        <w:rPr>
          <w:b w:val="false"/>
          <w:u w:val="none"/>
        </w:rPr>
        <w:t xml:space="preserve">  </w:t>
      </w:r>
      <w:r>
        <w:rPr/>
        <w:t>Ban</w:t>
      </w:r>
      <w:r>
        <w:rPr>
          <w:b w:val="false"/>
          <w:u w:val="none"/>
        </w:rPr>
        <w:t xml:space="preserve"> legislative mitigation.</w:t>
      </w:r>
    </w:p>
    <w:p>
      <w:pPr>
        <w:pStyle w:val="BodyText3"/>
        <w:ind w:firstLine="720" w:start="1440" w:end="0"/>
        <w:rPr>
          <w:b w:val="false"/>
          <w:u w:val="none"/>
        </w:rPr>
      </w:pPr>
      <w:r>
        <w:rPr>
          <w:b w:val="false"/>
          <w:u w:val="none"/>
        </w:rPr>
      </w:r>
    </w:p>
    <w:p>
      <w:pPr>
        <w:pStyle w:val="BodyText3"/>
        <w:rPr/>
      </w:pPr>
      <w:r>
        <w:rPr>
          <w:b w:val="false"/>
          <w:u w:val="none"/>
        </w:rPr>
        <w:tab/>
        <w:tab/>
        <w:tab/>
      </w:r>
      <w:r>
        <w:rPr/>
        <w:t>RPS</w:t>
      </w:r>
      <w:r>
        <w:rPr>
          <w:b w:val="false"/>
          <w:u w:val="none"/>
        </w:rPr>
        <w:t xml:space="preserve"> coalition building.</w:t>
      </w:r>
    </w:p>
    <w:p>
      <w:pPr>
        <w:pStyle w:val="Normal"/>
        <w:rPr>
          <w:rFonts w:ascii="Arial" w:hAnsi="Arial" w:cs="Arial"/>
          <w:b/>
          <w:color w:val="000000"/>
          <w:sz w:val="22"/>
          <w:u w:val="none"/>
          <w:lang w:eastAsia="en-US"/>
        </w:rPr>
      </w:pPr>
      <w:r>
        <w:rPr>
          <w:rFonts w:cs="Arial" w:ascii="Arial" w:hAnsi="Arial"/>
          <w:b/>
          <w:color w:val="000000"/>
          <w:sz w:val="22"/>
          <w:u w:val="none"/>
          <w:lang w:eastAsia="en-US"/>
        </w:rPr>
      </w:r>
    </w:p>
    <w:p>
      <w:pPr>
        <w:pStyle w:val="BodyText3"/>
        <w:ind w:hanging="2070" w:start="2160" w:end="0"/>
        <w:rPr/>
      </w:pPr>
      <w:r>
        <w:rPr>
          <w:u w:val="none"/>
        </w:rPr>
        <w:t>+</w:t>
        <w:tab/>
      </w:r>
      <w:r>
        <w:rPr/>
        <w:t>Advocacy Support for US projects by the Department of Commerce is included in the DOC Appropriations bill passed in the House and pending Senate action.</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ind w:start="2160" w:end="0"/>
        <w:rPr/>
      </w:pPr>
      <w:r>
        <w:rPr>
          <w:rFonts w:cs="Arial" w:ascii="Arial" w:hAnsi="Arial"/>
          <w:b/>
          <w:color w:val="000000"/>
          <w:sz w:val="22"/>
          <w:u w:val="single"/>
          <w:lang w:eastAsia="en-US"/>
        </w:rPr>
        <w:t>Business Investment Treaties (BITS)</w:t>
      </w:r>
      <w:r>
        <w:rPr>
          <w:rFonts w:cs="Arial" w:ascii="Arial" w:hAnsi="Arial"/>
          <w:color w:val="000000"/>
          <w:sz w:val="22"/>
          <w:lang w:eastAsia="en-US"/>
        </w:rPr>
        <w:t xml:space="preserve"> establishing valuable business rules between the US and various countries including Bolivia and Mozambique have been scheduled for Senate Foreign Relations Committee consideration.  Final action by the Senate is likely before the September, 2000 adjournment.</w:t>
      </w:r>
    </w:p>
    <w:p>
      <w:pPr>
        <w:pStyle w:val="Normal"/>
        <w:rPr>
          <w:rFonts w:ascii="Arial" w:hAnsi="Arial" w:cs="Arial"/>
          <w:color w:val="000000"/>
          <w:sz w:val="22"/>
          <w:lang w:eastAsia="en-US"/>
        </w:rPr>
      </w:pPr>
      <w:r>
        <w:rPr>
          <w:rFonts w:cs="Arial" w:ascii="Arial" w:hAnsi="Arial"/>
          <w:color w:val="000000"/>
          <w:sz w:val="22"/>
          <w:lang w:eastAsia="en-US"/>
        </w:rPr>
      </w:r>
    </w:p>
    <w:p>
      <w:pPr>
        <w:pStyle w:val="Heading5"/>
        <w:ind w:hanging="2160" w:start="2160" w:end="0"/>
        <w:rPr>
          <w:b w:val="false"/>
        </w:rPr>
      </w:pPr>
      <w:r>
        <w:rPr>
          <w:u w:val="none"/>
        </w:rPr>
        <w:t>+</w:t>
        <w:tab/>
      </w:r>
      <w:r>
        <w:rPr/>
        <w:t xml:space="preserve">TVA </w:t>
      </w:r>
      <w:r>
        <w:rPr>
          <w:b w:val="false"/>
          <w:u w:val="none"/>
        </w:rPr>
        <w:t>drafting of consensus legislative title and letter to FERC on Entergy issue.</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r>
        <w:br w:type="page"/>
      </w:r>
    </w:p>
    <w:p>
      <w:pPr>
        <w:pStyle w:val="Normal"/>
        <w:rPr>
          <w:rFonts w:ascii="Arial" w:hAnsi="Arial" w:cs="Arial"/>
          <w:b/>
          <w:sz w:val="22"/>
        </w:rPr>
      </w:pPr>
      <w:r>
        <w:rPr>
          <w:rFonts w:cs="Arial" w:ascii="Arial" w:hAnsi="Arial"/>
          <w:b/>
          <w:sz w:val="22"/>
        </w:rPr>
        <w:t xml:space="preserve">PENDING ITEMS </w:t>
      </w:r>
      <w:r>
        <w:rPr>
          <w:rFonts w:cs="Arial" w:ascii="Arial" w:hAnsi="Arial"/>
          <w:b/>
          <w:i/>
          <w:sz w:val="22"/>
        </w:rPr>
        <w:t>(CONTINUED)</w:t>
      </w:r>
    </w:p>
    <w:p>
      <w:pPr>
        <w:pStyle w:val="Heading5"/>
        <w:ind w:hanging="0" w:start="2160" w:end="0"/>
        <w:rPr>
          <w:rFonts w:ascii="Arial" w:hAnsi="Arial" w:cs="Arial"/>
          <w:b w:val="false"/>
          <w:sz w:val="22"/>
        </w:rPr>
      </w:pPr>
      <w:r>
        <w:rPr>
          <w:rFonts w:cs="Arial"/>
          <w:b w:val="false"/>
          <w:sz w:val="22"/>
        </w:rPr>
      </w:r>
    </w:p>
    <w:p>
      <w:pPr>
        <w:pStyle w:val="Heading5"/>
        <w:ind w:hanging="0" w:start="0"/>
        <w:rPr/>
      </w:pPr>
      <w:r>
        <w:rPr>
          <w:u w:val="none"/>
        </w:rPr>
        <w:t>+</w:t>
        <w:tab/>
        <w:tab/>
        <w:tab/>
      </w:r>
      <w:r>
        <w:rPr/>
        <w:t>Electricity Restructuring Legislation</w:t>
      </w:r>
    </w:p>
    <w:p>
      <w:pPr>
        <w:pStyle w:val="Normal"/>
        <w:ind w:start="2160" w:end="0"/>
        <w:rPr>
          <w:rFonts w:ascii="Arial" w:hAnsi="Arial" w:cs="Arial"/>
          <w:color w:val="000000"/>
          <w:sz w:val="22"/>
          <w:lang w:eastAsia="en-US"/>
        </w:rPr>
      </w:pPr>
      <w:r>
        <w:rPr>
          <w:rFonts w:cs="Arial" w:ascii="Arial" w:hAnsi="Arial"/>
          <w:color w:val="000000"/>
          <w:sz w:val="22"/>
          <w:lang w:eastAsia="en-US"/>
        </w:rPr>
        <w:t xml:space="preserve">This legislation is at full House Commerce Committee markup stage.  Legislation has now been introduced with our drafting assistance in the Senate by Senators Gramm and Schumer which contains most elements of interest to Enron.  Approval is possible this year but many challenges exist.  Senate PUHCA and Reliability bills passed for Conference vehicles.  Single handedly blocked EEI transmission language by building new DOE stakeholder and utility member group support.  Drafting assistance of numerous consensus provisions including transmission, interconnection, market power, private use, reliability, and PURPA.  Coordinated advocacy press.  </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BodyTextIndent2"/>
        <w:rPr/>
      </w:pPr>
      <w:r>
        <w:rPr/>
        <w:tab/>
      </w:r>
      <w:r>
        <w:rPr>
          <w:u w:val="single"/>
        </w:rPr>
        <w:t>Bankruptcy technical correction to clarify treatment of production payments.</w:t>
      </w:r>
    </w:p>
    <w:p>
      <w:pPr>
        <w:pStyle w:val="BodyTextIndent"/>
        <w:rPr/>
      </w:pPr>
      <w:r>
        <w:rPr/>
        <w:t>Bankruptcy is before House/Senate Conference, but various technical/political issues and presidential veto threat imperil final passage.  Senate leadership considering whether they will allow the bill before the Senate because of concern over filibuster by Democrats.</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sz w:val="22"/>
        </w:rPr>
        <w:t>+</w:t>
        <w:tab/>
      </w:r>
      <w:r>
        <w:rPr>
          <w:rFonts w:cs="Arial" w:ascii="Arial" w:hAnsi="Arial"/>
          <w:b/>
          <w:sz w:val="22"/>
          <w:u w:val="single"/>
        </w:rPr>
        <w:t>Kansas Ad Valorem</w:t>
      </w:r>
      <w:r>
        <w:rPr>
          <w:rFonts w:cs="Arial" w:ascii="Arial" w:hAnsi="Arial"/>
          <w:sz w:val="22"/>
        </w:rPr>
        <w:t xml:space="preserve"> blocked legislative efforts and mitigated bill language.</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start="2160" w:end="0"/>
        <w:rPr/>
      </w:pPr>
      <w:r>
        <w:rPr>
          <w:rFonts w:cs="Arial" w:ascii="Arial" w:hAnsi="Arial"/>
          <w:b/>
          <w:color w:val="000000"/>
          <w:sz w:val="22"/>
          <w:u w:val="single"/>
          <w:lang w:eastAsia="en-US"/>
        </w:rPr>
        <w:t>Pipeline Safety Act authorization</w:t>
      </w:r>
      <w:r>
        <w:rPr>
          <w:rFonts w:cs="Arial" w:ascii="Arial" w:hAnsi="Arial"/>
          <w:color w:val="000000"/>
          <w:sz w:val="22"/>
          <w:lang w:eastAsia="en-US"/>
        </w:rPr>
        <w:t xml:space="preserve"> pending House and Senate consideration.  Enacted positive appropriations language for five years level funding.</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Department of Defense Authorization Bill</w:t>
      </w:r>
      <w:r>
        <w:rPr>
          <w:rFonts w:cs="Arial" w:ascii="Arial" w:hAnsi="Arial"/>
          <w:color w:val="000000"/>
          <w:sz w:val="22"/>
          <w:lang w:eastAsia="en-US"/>
        </w:rPr>
        <w:t xml:space="preserve"> passed in the House presents significant obstacle for Enron Federal Solutions.  Working to have Senate language prevail in conference to be held in September.</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r>
      <w:r>
        <w:rPr>
          <w:rFonts w:cs="Arial" w:ascii="Arial" w:hAnsi="Arial"/>
          <w:b/>
          <w:color w:val="000000"/>
          <w:sz w:val="22"/>
          <w:u w:val="single"/>
          <w:lang w:eastAsia="en-US"/>
        </w:rPr>
        <w:t>Department of Interior Appropriations Bill</w:t>
      </w:r>
      <w:r>
        <w:rPr>
          <w:rFonts w:cs="Arial" w:ascii="Arial" w:hAnsi="Arial"/>
          <w:color w:val="000000"/>
          <w:sz w:val="22"/>
          <w:lang w:eastAsia="en-US"/>
        </w:rPr>
        <w:t xml:space="preserve"> is pending House/Senate Conference action with Senate language inserted by Enron prohibiting BLM and US Forest Service from raising right-of-way fees.  </w:t>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r>
      <w:r>
        <w:rPr>
          <w:rFonts w:cs="Arial" w:ascii="Arial" w:hAnsi="Arial"/>
          <w:b/>
          <w:color w:val="000000"/>
          <w:sz w:val="22"/>
          <w:u w:val="single"/>
          <w:lang w:eastAsia="en-US"/>
        </w:rPr>
        <w:t>Internet Tax Moratorium</w:t>
      </w:r>
      <w:r>
        <w:rPr>
          <w:rFonts w:cs="Arial" w:ascii="Arial" w:hAnsi="Arial"/>
          <w:b/>
          <w:color w:val="000000"/>
          <w:sz w:val="22"/>
          <w:lang w:eastAsia="en-US"/>
        </w:rPr>
        <w:t xml:space="preserve">  </w:t>
      </w:r>
      <w:r>
        <w:rPr>
          <w:rFonts w:cs="Arial" w:ascii="Arial" w:hAnsi="Arial"/>
          <w:color w:val="000000"/>
          <w:sz w:val="22"/>
          <w:lang w:eastAsia="en-US"/>
        </w:rPr>
        <w:t>Passed the House and is pending before the Senate.</w:t>
      </w:r>
    </w:p>
    <w:p>
      <w:pPr>
        <w:pStyle w:val="Normal"/>
        <w:rPr>
          <w:rFonts w:ascii="Arial" w:hAnsi="Arial" w:cs="Arial"/>
          <w:b/>
          <w:color w:val="000000"/>
          <w:sz w:val="22"/>
          <w:u w:val="single"/>
          <w:lang w:eastAsia="en-US"/>
        </w:rPr>
      </w:pPr>
      <w:r>
        <w:rPr>
          <w:rFonts w:cs="Arial" w:ascii="Arial" w:hAnsi="Arial"/>
          <w:b/>
          <w:color w:val="000000"/>
          <w:sz w:val="22"/>
          <w:u w:val="single"/>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CFTC Authorization Bill</w:t>
      </w:r>
      <w:r>
        <w:rPr>
          <w:rFonts w:cs="Arial" w:ascii="Arial" w:hAnsi="Arial"/>
          <w:color w:val="000000"/>
          <w:sz w:val="22"/>
          <w:lang w:eastAsia="en-US"/>
        </w:rPr>
        <w:t xml:space="preserve"> is pending before House and Senate Committees of jurisdiction.  House language provides the broadest exemption from CFTC regulatory authority over Enron trading business.  Senate language is less favorable to our derivatives business. Working to improve Senate language on floor or in conference committee.  We are seeking to have House prevail. </w:t>
      </w:r>
    </w:p>
    <w:p>
      <w:pPr>
        <w:pStyle w:val="Normal"/>
        <w:ind w:start="2160" w:end="0"/>
        <w:rPr>
          <w:rFonts w:ascii="Arial" w:hAnsi="Arial" w:cs="Arial"/>
          <w:b/>
          <w:color w:val="000000"/>
          <w:sz w:val="22"/>
          <w:u w:val="single"/>
          <w:lang w:eastAsia="en-US"/>
        </w:rPr>
      </w:pPr>
      <w:r>
        <w:rPr>
          <w:rFonts w:cs="Arial" w:ascii="Arial" w:hAnsi="Arial"/>
          <w:b/>
          <w:color w:val="000000"/>
          <w:sz w:val="22"/>
          <w:u w:val="single"/>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H-1B VISA increase</w:t>
      </w:r>
      <w:r>
        <w:rPr>
          <w:rFonts w:cs="Arial" w:ascii="Arial" w:hAnsi="Arial"/>
          <w:color w:val="000000"/>
          <w:sz w:val="22"/>
          <w:lang w:eastAsia="en-US"/>
        </w:rPr>
        <w:t>.  Important to Enron business.  Favorable bill pending consideration.</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rFonts w:ascii="Arial" w:hAnsi="Arial" w:cs="Arial"/>
          <w:color w:val="000000"/>
          <w:sz w:val="22"/>
          <w:lang w:eastAsia="en-US"/>
        </w:rPr>
      </w:pPr>
      <w:r>
        <w:rPr>
          <w:rFonts w:cs="Arial" w:ascii="Arial" w:hAnsi="Arial"/>
          <w:color w:val="000000"/>
          <w:sz w:val="22"/>
          <w:lang w:eastAsia="en-US"/>
        </w:rPr>
      </w:r>
    </w:p>
    <w:p>
      <w:pPr>
        <w:pStyle w:val="BodyText3"/>
        <w:ind w:hanging="2160" w:start="2160" w:end="0"/>
        <w:rPr/>
      </w:pPr>
      <w:r>
        <w:rPr>
          <w:u w:val="none"/>
        </w:rPr>
        <w:t>+</w:t>
        <w:tab/>
      </w:r>
      <w:r>
        <w:rPr/>
        <w:t>Trade adjustment assistance for PGE Trojan Workers passed</w:t>
      </w:r>
      <w:r>
        <w:rPr>
          <w:u w:val="none"/>
        </w:rPr>
        <w:t xml:space="preserve">.  </w:t>
      </w:r>
      <w:r>
        <w:rPr>
          <w:b w:val="false"/>
          <w:u w:val="none"/>
        </w:rPr>
        <w:t>PGE feasibility study for potential Corps. cooling tower removal funding.</w:t>
      </w:r>
    </w:p>
    <w:p>
      <w:pPr>
        <w:pStyle w:val="Normal"/>
        <w:rPr>
          <w:rFonts w:ascii="Arial" w:hAnsi="Arial" w:cs="Arial"/>
          <w:b/>
          <w:color w:val="000000"/>
          <w:sz w:val="22"/>
          <w:u w:val="none"/>
          <w:lang w:eastAsia="en-US"/>
        </w:rPr>
      </w:pPr>
      <w:r>
        <w:rPr>
          <w:rFonts w:cs="Arial" w:ascii="Arial" w:hAnsi="Arial"/>
          <w:b/>
          <w:color w:val="000000"/>
          <w:sz w:val="22"/>
          <w:u w:val="none"/>
          <w:lang w:eastAsia="en-US"/>
        </w:rPr>
      </w:r>
    </w:p>
    <w:p>
      <w:pPr>
        <w:pStyle w:val="Normal"/>
        <w:ind w:hanging="2160" w:start="2160" w:end="0"/>
        <w:rPr>
          <w:rFonts w:ascii="Arial" w:hAnsi="Arial" w:cs="Arial"/>
          <w:color w:val="000000"/>
          <w:sz w:val="22"/>
          <w:lang w:eastAsia="en-US"/>
        </w:rPr>
      </w:pPr>
      <w:r>
        <w:rPr>
          <w:rFonts w:cs="Arial" w:ascii="Arial" w:hAnsi="Arial"/>
          <w:color w:val="000000"/>
          <w:sz w:val="22"/>
          <w:lang w:eastAsia="en-US"/>
        </w:rPr>
      </w:r>
    </w:p>
    <w:p>
      <w:pPr>
        <w:pStyle w:val="Heading6"/>
        <w:ind w:hanging="0" w:start="0"/>
        <w:rPr/>
      </w:pPr>
      <w:r>
        <w:rPr/>
        <w:t>Balance of Year</w:t>
      </w:r>
    </w:p>
    <w:p>
      <w:pPr>
        <w:pStyle w:val="Normal"/>
        <w:rPr>
          <w:rFonts w:ascii="Arial" w:hAnsi="Arial" w:cs="Arial"/>
          <w:color w:val="000000"/>
          <w:sz w:val="22"/>
          <w:lang w:eastAsia="en-US"/>
        </w:rPr>
      </w:pPr>
      <w:r>
        <w:rPr>
          <w:rFonts w:cs="Arial" w:ascii="Arial" w:hAnsi="Arial"/>
          <w:color w:val="000000"/>
          <w:sz w:val="22"/>
          <w:lang w:eastAsia="en-US"/>
        </w:rPr>
      </w:r>
    </w:p>
    <w:p>
      <w:pPr>
        <w:pStyle w:val="Normal"/>
        <w:numPr>
          <w:ilvl w:val="0"/>
          <w:numId w:val="2"/>
        </w:numPr>
        <w:rPr>
          <w:rFonts w:ascii="Arial" w:hAnsi="Arial" w:cs="Arial"/>
          <w:color w:val="000000"/>
          <w:sz w:val="22"/>
          <w:lang w:eastAsia="en-US"/>
        </w:rPr>
      </w:pPr>
      <w:r>
        <w:rPr>
          <w:rFonts w:cs="Arial" w:ascii="Arial" w:hAnsi="Arial"/>
          <w:color w:val="000000"/>
          <w:sz w:val="22"/>
          <w:lang w:eastAsia="en-US"/>
        </w:rPr>
        <w:t>Complete legislative session seeking to achieve positive action of all objectives.</w:t>
      </w:r>
    </w:p>
    <w:p>
      <w:pPr>
        <w:pStyle w:val="Normal"/>
        <w:numPr>
          <w:ilvl w:val="0"/>
          <w:numId w:val="2"/>
        </w:numPr>
        <w:rPr>
          <w:rFonts w:ascii="Arial" w:hAnsi="Arial" w:cs="Arial"/>
          <w:color w:val="000000"/>
          <w:sz w:val="22"/>
          <w:lang w:eastAsia="en-US"/>
        </w:rPr>
      </w:pPr>
      <w:r>
        <w:rPr>
          <w:rFonts w:cs="Arial" w:ascii="Arial" w:hAnsi="Arial"/>
          <w:color w:val="000000"/>
          <w:sz w:val="22"/>
          <w:lang w:eastAsia="en-US"/>
        </w:rPr>
        <w:t>Work with the new Congress in their pre-session organizational meetings including establishing relations with new members from important states and districts.</w:t>
      </w:r>
    </w:p>
    <w:p>
      <w:pPr>
        <w:pStyle w:val="Normal"/>
        <w:numPr>
          <w:ilvl w:val="0"/>
          <w:numId w:val="2"/>
        </w:numPr>
        <w:rPr>
          <w:rFonts w:ascii="Arial" w:hAnsi="Arial" w:cs="Arial"/>
          <w:color w:val="000000"/>
          <w:sz w:val="22"/>
          <w:lang w:eastAsia="en-US"/>
        </w:rPr>
      </w:pPr>
      <w:r>
        <w:rPr>
          <w:rFonts w:cs="Arial" w:ascii="Arial" w:hAnsi="Arial"/>
          <w:color w:val="000000"/>
          <w:sz w:val="22"/>
          <w:lang w:eastAsia="en-US"/>
        </w:rPr>
        <w:t>Plan Enron’s inauguration participation.</w:t>
      </w:r>
    </w:p>
    <w:p>
      <w:pPr>
        <w:pStyle w:val="Normal"/>
        <w:rPr>
          <w:rFonts w:ascii="Arial" w:hAnsi="Arial" w:cs="Arial"/>
          <w:color w:val="000000"/>
          <w:sz w:val="22"/>
          <w:lang w:eastAsia="en-US"/>
        </w:rPr>
      </w:pPr>
      <w:r>
        <w:rPr>
          <w:rFonts w:cs="Arial" w:ascii="Arial" w:hAnsi="Arial"/>
          <w:color w:val="000000"/>
          <w:sz w:val="22"/>
          <w:lang w:eastAsia="en-US"/>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2"/>
      </w:rPr>
      <w:t>-</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rStyle w:val="PageNumber"/>
        <w:sz w:val="22"/>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ind w:hanging="0" w:start="0" w:end="0"/>
      <w:outlineLvl w:val="1"/>
    </w:pPr>
    <w:rPr/>
  </w:style>
  <w:style w:type="paragraph" w:styleId="Heading3">
    <w:name w:val="heading 3"/>
    <w:basedOn w:val="Normal"/>
    <w:next w:val="Normal"/>
    <w:qFormat/>
    <w:pPr>
      <w:keepNext w:val="true"/>
      <w:numPr>
        <w:ilvl w:val="2"/>
        <w:numId w:val="1"/>
      </w:numPr>
      <w:ind w:hanging="540" w:start="540" w:end="0"/>
      <w:outlineLvl w:val="2"/>
    </w:pPr>
    <w:rPr>
      <w:rFonts w:ascii="Arial" w:hAnsi="Arial" w:cs="Arial"/>
      <w:b/>
      <w:color w:val="000000"/>
      <w:sz w:val="18"/>
      <w:lang w:eastAsia="en-US"/>
    </w:rPr>
  </w:style>
  <w:style w:type="paragraph" w:styleId="Heading4">
    <w:name w:val="heading 4"/>
    <w:basedOn w:val="Normal"/>
    <w:next w:val="Normal"/>
    <w:qFormat/>
    <w:pPr>
      <w:keepNext w:val="true"/>
      <w:numPr>
        <w:ilvl w:val="3"/>
        <w:numId w:val="1"/>
      </w:numPr>
      <w:ind w:hanging="540" w:start="540" w:end="0"/>
      <w:outlineLvl w:val="3"/>
    </w:pPr>
    <w:rPr>
      <w:rFonts w:ascii="Arial" w:hAnsi="Arial" w:cs="Arial"/>
      <w:b/>
      <w:color w:val="000000"/>
      <w:sz w:val="22"/>
      <w:u w:val="single"/>
      <w:lang w:eastAsia="en-US"/>
    </w:rPr>
  </w:style>
  <w:style w:type="paragraph" w:styleId="Heading5">
    <w:name w:val="heading 5"/>
    <w:basedOn w:val="Normal"/>
    <w:next w:val="Normal"/>
    <w:qFormat/>
    <w:pPr>
      <w:keepNext w:val="true"/>
      <w:numPr>
        <w:ilvl w:val="4"/>
        <w:numId w:val="1"/>
      </w:numPr>
      <w:outlineLvl w:val="4"/>
    </w:pPr>
    <w:rPr>
      <w:rFonts w:ascii="Arial" w:hAnsi="Arial" w:cs="Arial"/>
      <w:b/>
      <w:color w:val="000000"/>
      <w:sz w:val="22"/>
      <w:u w:val="single"/>
      <w:lang w:eastAsia="en-US"/>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u w:val="single"/>
      <w:lang w:eastAsia="en-US"/>
    </w:rPr>
  </w:style>
  <w:style w:type="paragraph" w:styleId="Heading7">
    <w:name w:val="heading 7"/>
    <w:basedOn w:val="Normal"/>
    <w:next w:val="Normal"/>
    <w:qFormat/>
    <w:pPr>
      <w:keepNext w:val="true"/>
      <w:numPr>
        <w:ilvl w:val="6"/>
        <w:numId w:val="1"/>
      </w:numPr>
      <w:outlineLvl w:val="6"/>
    </w:pPr>
    <w:rPr>
      <w:rFonts w:ascii="Arial" w:hAnsi="Arial" w:cs="Arial"/>
      <w:color w:val="000000"/>
      <w:sz w:val="24"/>
      <w:lang w:eastAsia="en-US"/>
    </w:rPr>
  </w:style>
  <w:style w:type="character" w:styleId="WW8Num2z0">
    <w:name w:val="WW8Num2z0"/>
    <w:qFormat/>
    <w:rPr>
      <w:rFonts w:ascii="Symbol" w:hAnsi="Symbol" w:cs="Symbol"/>
      <w:sz w:val="16"/>
    </w:rPr>
  </w:style>
  <w:style w:type="character" w:styleId="WW8Num3z0">
    <w:name w:val="WW8Num3z0"/>
    <w:qFormat/>
    <w:rPr/>
  </w:style>
  <w:style w:type="character" w:styleId="WW8Num4z0">
    <w:name w:val="WW8Num4z0"/>
    <w:qFormat/>
    <w:rPr>
      <w:rFonts w:ascii="Symbol" w:hAnsi="Symbol" w:cs="Symbol"/>
      <w:sz w:val="16"/>
    </w:rPr>
  </w:style>
  <w:style w:type="character" w:styleId="WW8Num5z0">
    <w:name w:val="WW8Num5z0"/>
    <w:qFormat/>
    <w:rPr>
      <w:rFonts w:ascii="Symbol" w:hAnsi="Symbol" w:cs="Symbol"/>
      <w:sz w:val="16"/>
    </w:rPr>
  </w:style>
  <w:style w:type="character" w:styleId="WW8Num6z0">
    <w:name w:val="WW8Num6z0"/>
    <w:qFormat/>
    <w:rPr>
      <w:rFonts w:ascii="Symbol" w:hAnsi="Symbol" w:cs="Symbol"/>
      <w:sz w:val="16"/>
    </w:rPr>
  </w:style>
  <w:style w:type="character" w:styleId="WW8Num7z0">
    <w:name w:val="WW8Num7z0"/>
    <w:qFormat/>
    <w:rPr>
      <w:rFonts w:ascii="Symbol" w:hAnsi="Symbol" w:cs="Symbol"/>
      <w:sz w:val="16"/>
    </w:rPr>
  </w:style>
  <w:style w:type="character" w:styleId="WW8Num8z0">
    <w:name w:val="WW8Num8z0"/>
    <w:qFormat/>
    <w:rPr>
      <w:rFonts w:ascii="Symbol" w:hAnsi="Symbol" w:cs="Symbol"/>
      <w:sz w:val="16"/>
    </w:rPr>
  </w:style>
  <w:style w:type="character" w:styleId="WW8Num9z0">
    <w:name w:val="WW8Num9z0"/>
    <w:qFormat/>
    <w:rPr>
      <w:rFonts w:ascii="Symbol" w:hAnsi="Symbol" w:cs="Symbol"/>
      <w:sz w:val="16"/>
    </w:rPr>
  </w:style>
  <w:style w:type="character" w:styleId="WW8Num10z0">
    <w:name w:val="WW8Num10z0"/>
    <w:qFormat/>
    <w:rPr>
      <w:rFonts w:ascii="Symbol" w:hAnsi="Symbol" w:cs="Symbol"/>
    </w:rPr>
  </w:style>
  <w:style w:type="character" w:styleId="WW8Num11z0">
    <w:name w:val="WW8Num11z0"/>
    <w:qFormat/>
    <w:rPr>
      <w:rFonts w:ascii="Symbol" w:hAnsi="Symbol" w:cs="Symbol"/>
      <w:sz w:val="16"/>
    </w:rPr>
  </w:style>
  <w:style w:type="character" w:styleId="WW8Num12z0">
    <w:name w:val="WW8Num12z0"/>
    <w:qFormat/>
    <w:rPr>
      <w:rFonts w:ascii="Symbol" w:hAnsi="Symbol" w:cs="Symbol"/>
      <w:sz w:val="16"/>
    </w:rPr>
  </w:style>
  <w:style w:type="character" w:styleId="WW8Num13z0">
    <w:name w:val="WW8Num13z0"/>
    <w:qFormat/>
    <w:rPr>
      <w:rFonts w:ascii="Symbol" w:hAnsi="Symbol" w:cs="Symbol"/>
      <w:sz w:val="16"/>
    </w:rPr>
  </w:style>
  <w:style w:type="character" w:styleId="WW8Num14z0">
    <w:name w:val="WW8Num14z0"/>
    <w:qFormat/>
    <w:rPr>
      <w:rFonts w:ascii="Symbol" w:hAnsi="Symbol" w:cs="Symbol"/>
      <w:sz w:val="16"/>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rFonts w:ascii="Symbol" w:hAnsi="Symbol" w:cs="Symbol"/>
      <w:sz w:val="16"/>
    </w:rPr>
  </w:style>
  <w:style w:type="character" w:styleId="WW8Num19z0">
    <w:name w:val="WW8Num19z0"/>
    <w:qFormat/>
    <w:rPr>
      <w:rFonts w:ascii="Symbol" w:hAnsi="Symbol" w:cs="Symbol"/>
      <w:sz w:val="16"/>
    </w:rPr>
  </w:style>
  <w:style w:type="character" w:styleId="WW8Num20z0">
    <w:name w:val="WW8Num20z0"/>
    <w:qFormat/>
    <w:rPr>
      <w:rFonts w:ascii="Symbol" w:hAnsi="Symbol" w:cs="Symbol"/>
      <w:sz w:val="16"/>
    </w:rPr>
  </w:style>
  <w:style w:type="character" w:styleId="WW8Num21z0">
    <w:name w:val="WW8Num21z0"/>
    <w:qFormat/>
    <w:rPr>
      <w:rFonts w:ascii="Symbol" w:hAnsi="Symbol" w:cs="Symbol"/>
      <w:sz w:val="16"/>
    </w:rPr>
  </w:style>
  <w:style w:type="character" w:styleId="WW8Num22z0">
    <w:name w:val="WW8Num22z0"/>
    <w:qFormat/>
    <w:rPr>
      <w:rFonts w:ascii="Symbol" w:hAnsi="Symbol" w:cs="Symbol"/>
      <w:sz w:val="16"/>
    </w:rPr>
  </w:style>
  <w:style w:type="character" w:styleId="WW8Num24z0">
    <w:name w:val="WW8Num24z0"/>
    <w:qFormat/>
    <w:rPr>
      <w:rFonts w:ascii="Symbol" w:hAnsi="Symbol" w:cs="Symbol"/>
      <w:sz w:val="16"/>
    </w:rPr>
  </w:style>
  <w:style w:type="character" w:styleId="WW8Num25z0">
    <w:name w:val="WW8Num25z0"/>
    <w:qFormat/>
    <w:rPr>
      <w:rFonts w:ascii="Symbol" w:hAnsi="Symbol" w:cs="Symbol"/>
    </w:rPr>
  </w:style>
  <w:style w:type="character" w:styleId="WW8Num26z0">
    <w:name w:val="WW8Num26z0"/>
    <w:qFormat/>
    <w:rPr>
      <w:rFonts w:ascii="Symbol" w:hAnsi="Symbol" w:cs="Symbol"/>
      <w:sz w:val="16"/>
    </w:rPr>
  </w:style>
  <w:style w:type="character" w:styleId="WW8Num27z0">
    <w:name w:val="WW8Num27z0"/>
    <w:qFormat/>
    <w:rPr>
      <w:rFonts w:ascii="Symbol" w:hAnsi="Symbol" w:cs="Symbol"/>
      <w:sz w:val="16"/>
    </w:rPr>
  </w:style>
  <w:style w:type="character" w:styleId="WW8Num28z0">
    <w:name w:val="WW8Num28z0"/>
    <w:qFormat/>
    <w:rPr>
      <w:rFonts w:ascii="Symbol" w:hAnsi="Symbol" w:cs="Symbol"/>
      <w:sz w:val="16"/>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sz w:val="16"/>
    </w:rPr>
  </w:style>
  <w:style w:type="character" w:styleId="WW8Num32z0">
    <w:name w:val="WW8Num32z0"/>
    <w:qFormat/>
    <w:rPr>
      <w:rFonts w:ascii="Symbol" w:hAnsi="Symbol" w:cs="Symbol"/>
      <w:sz w:val="16"/>
    </w:rPr>
  </w:style>
  <w:style w:type="character" w:styleId="WW8Num33z0">
    <w:name w:val="WW8Num33z0"/>
    <w:qFormat/>
    <w:rPr>
      <w:rFonts w:ascii="Symbol" w:hAnsi="Symbol" w:cs="Symbol"/>
      <w:sz w:val="16"/>
    </w:rPr>
  </w:style>
  <w:style w:type="character" w:styleId="WW8Num34z0">
    <w:name w:val="WW8Num34z0"/>
    <w:qFormat/>
    <w:rPr>
      <w:rFonts w:ascii="Symbol" w:hAnsi="Symbol" w:cs="Symbol"/>
      <w:sz w:val="16"/>
    </w:rPr>
  </w:style>
  <w:style w:type="character" w:styleId="WW8Num35z0">
    <w:name w:val="WW8Num35z0"/>
    <w:qFormat/>
    <w:rPr>
      <w:rFonts w:ascii="Symbol" w:hAnsi="Symbol" w:cs="Symbol"/>
      <w:sz w:val="16"/>
    </w:rPr>
  </w:style>
  <w:style w:type="character" w:styleId="WW8Num36z0">
    <w:name w:val="WW8Num36z0"/>
    <w:qFormat/>
    <w:rPr>
      <w:rFonts w:ascii="Symbol" w:hAnsi="Symbol" w:cs="Symbol"/>
      <w:sz w:val="16"/>
    </w:rPr>
  </w:style>
  <w:style w:type="character" w:styleId="WW8Num37z0">
    <w:name w:val="WW8Num37z0"/>
    <w:qFormat/>
    <w:rPr>
      <w:rFonts w:ascii="Symbol" w:hAnsi="Symbol" w:cs="Symbol"/>
      <w:sz w:val="16"/>
    </w:rPr>
  </w:style>
  <w:style w:type="character" w:styleId="WW8Num38z0">
    <w:name w:val="WW8Num38z0"/>
    <w:qFormat/>
    <w:rPr>
      <w:rFonts w:ascii="Symbol" w:hAnsi="Symbol" w:cs="Symbol"/>
      <w:sz w:val="16"/>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sz w:val="16"/>
    </w:rPr>
  </w:style>
  <w:style w:type="character" w:styleId="WW8Num42z0">
    <w:name w:val="WW8Num42z0"/>
    <w:qFormat/>
    <w:rPr>
      <w:rFonts w:ascii="Symbol" w:hAnsi="Symbol" w:cs="Symbol"/>
      <w:sz w:val="16"/>
    </w:rPr>
  </w:style>
  <w:style w:type="character" w:styleId="WW8Num43z0">
    <w:name w:val="WW8Num43z0"/>
    <w:qFormat/>
    <w:rPr>
      <w:rFonts w:ascii="Symbol" w:hAnsi="Symbol" w:cs="Symbol"/>
      <w:sz w:val="16"/>
    </w:rPr>
  </w:style>
  <w:style w:type="character" w:styleId="WW8Num44z0">
    <w:name w:val="WW8Num44z0"/>
    <w:qFormat/>
    <w:rPr/>
  </w:style>
  <w:style w:type="character" w:styleId="WW8Num45z0">
    <w:name w:val="WW8Num45z0"/>
    <w:qFormat/>
    <w:rPr>
      <w:rFonts w:ascii="Symbol" w:hAnsi="Symbol" w:cs="Symbol"/>
      <w:sz w:val="16"/>
    </w:rPr>
  </w:style>
  <w:style w:type="character" w:styleId="WW8Num46z0">
    <w:name w:val="WW8Num46z0"/>
    <w:qFormat/>
    <w:rPr>
      <w:rFonts w:ascii="Symbol" w:hAnsi="Symbol" w:cs="Symbol"/>
      <w:sz w:val="16"/>
    </w:rPr>
  </w:style>
  <w:style w:type="character" w:styleId="WW8Num47z0">
    <w:name w:val="WW8Num47z0"/>
    <w:qFormat/>
    <w:rPr>
      <w:rFonts w:ascii="Symbol" w:hAnsi="Symbol" w:cs="Symbol"/>
      <w:sz w:val="16"/>
    </w:rPr>
  </w:style>
  <w:style w:type="character" w:styleId="WW8Num48z0">
    <w:name w:val="WW8Num48z0"/>
    <w:qFormat/>
    <w:rPr>
      <w:rFonts w:ascii="Symbol" w:hAnsi="Symbol" w:cs="Symbol"/>
      <w:sz w:val="16"/>
    </w:rPr>
  </w:style>
  <w:style w:type="character" w:styleId="WW8Num49z0">
    <w:name w:val="WW8Num49z0"/>
    <w:qFormat/>
    <w:rPr>
      <w:rFonts w:ascii="Symbol" w:hAnsi="Symbol" w:cs="Symbol"/>
      <w:sz w:val="16"/>
    </w:rPr>
  </w:style>
  <w:style w:type="character" w:styleId="WW8Num50z0">
    <w:name w:val="WW8Num50z0"/>
    <w:qFormat/>
    <w:rPr>
      <w:rFonts w:ascii="Symbol" w:hAnsi="Symbol" w:cs="Symbol"/>
      <w:sz w:val="16"/>
    </w:rPr>
  </w:style>
  <w:style w:type="character" w:styleId="WW8Num51z0">
    <w:name w:val="WW8Num51z0"/>
    <w:qFormat/>
    <w:rPr>
      <w:rFonts w:ascii="Symbol" w:hAnsi="Symbol" w:cs="Symbol"/>
      <w:sz w:val="16"/>
    </w:rPr>
  </w:style>
  <w:style w:type="character" w:styleId="WW8Num52z0">
    <w:name w:val="WW8Num52z0"/>
    <w:qFormat/>
    <w:rPr>
      <w:rFonts w:ascii="Symbol" w:hAnsi="Symbol" w:cs="Symbol"/>
      <w:sz w:val="16"/>
    </w:rPr>
  </w:style>
  <w:style w:type="character" w:styleId="WW8Num53z0">
    <w:name w:val="WW8Num53z0"/>
    <w:qFormat/>
    <w:rPr>
      <w:rFonts w:ascii="Symbol" w:hAnsi="Symbol" w:cs="Symbol"/>
      <w:sz w:val="16"/>
    </w:rPr>
  </w:style>
  <w:style w:type="character" w:styleId="WW8Num54z0">
    <w:name w:val="WW8Num54z0"/>
    <w:qFormat/>
    <w:rPr>
      <w:rFonts w:ascii="Symbol" w:hAnsi="Symbol" w:cs="Symbol"/>
      <w:sz w:val="16"/>
    </w:rPr>
  </w:style>
  <w:style w:type="character" w:styleId="WW8NumSt46z0">
    <w:name w:val="WW8NumSt46z0"/>
    <w:qFormat/>
    <w:rPr>
      <w:rFonts w:ascii="Symbol" w:hAnsi="Symbol" w:cs="Symbol"/>
      <w:sz w:val="3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0"/>
        <w:numId w:val="0"/>
      </w:numPr>
      <w:ind w:hanging="0" w:start="0" w:end="0"/>
    </w:pPr>
    <w:rPr>
      <w:b/>
      <w:i/>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numPr>
        <w:ilvl w:val="0"/>
        <w:numId w:val="0"/>
      </w:numPr>
      <w:ind w:hanging="0" w:start="0" w:end="0"/>
    </w:pPr>
    <w:rPr>
      <w:b/>
      <w:i/>
      <w:sz w:val="24"/>
    </w:rPr>
  </w:style>
  <w:style w:type="paragraph" w:styleId="BodyText3">
    <w:name w:val="Body Text 3"/>
    <w:basedOn w:val="Normal"/>
    <w:qFormat/>
    <w:pPr/>
    <w:rPr>
      <w:rFonts w:ascii="Arial" w:hAnsi="Arial" w:cs="Arial"/>
      <w:b/>
      <w:color w:val="000000"/>
      <w:sz w:val="22"/>
      <w:u w:val="single"/>
      <w:lang w:eastAsia="en-US"/>
    </w:rPr>
  </w:style>
  <w:style w:type="paragraph" w:styleId="BodyTextIndent">
    <w:name w:val="Body Text Indent"/>
    <w:basedOn w:val="Normal"/>
    <w:pPr>
      <w:ind w:hanging="0" w:start="2160" w:end="0"/>
    </w:pPr>
    <w:rPr>
      <w:rFonts w:ascii="Arial" w:hAnsi="Arial" w:cs="Arial"/>
      <w:color w:val="000000"/>
      <w:sz w:val="22"/>
      <w:lang w:eastAsia="en-US"/>
    </w:rPr>
  </w:style>
  <w:style w:type="paragraph" w:styleId="BodyTextIndent2">
    <w:name w:val="Body Text Indent 2"/>
    <w:basedOn w:val="Normal"/>
    <w:qFormat/>
    <w:pPr>
      <w:ind w:hanging="2160" w:start="2160" w:end="0"/>
    </w:pPr>
    <w:rPr>
      <w:rFonts w:ascii="Arial" w:hAnsi="Arial" w:cs="Arial"/>
      <w:b/>
      <w:color w:val="000000"/>
      <w:sz w:val="22"/>
      <w:lang w:eastAsia="en-US"/>
    </w:rPr>
  </w:style>
  <w:style w:type="paragraph" w:styleId="BodyTextIndent3">
    <w:name w:val="Body Text Indent 3"/>
    <w:basedOn w:val="Normal"/>
    <w:qFormat/>
    <w:pPr>
      <w:ind w:hanging="0" w:start="72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2000-07-21T15:50:00Z</dcterms:created>
  <dc:creator>Lora A. Sulliva</dc:creator>
  <dc:description/>
  <dc:language>en-CA</dc:language>
  <cp:lastModifiedBy>Lora A. Sulliva</cp:lastModifiedBy>
  <cp:lastPrinted>2000-07-21T16:00:00Z</cp:lastPrinted>
  <dcterms:modified xsi:type="dcterms:W3CDTF">2000-07-21T17:30:00Z</dcterms:modified>
  <cp:revision>6</cp:revision>
  <dc:subject/>
  <dc:title>1999 Objectives and Accomplishments</dc:title>
</cp:coreProperties>
</file>