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40" w:start="540" w:end="0"/>
        <w:rPr>
          <w:rFonts w:ascii="Arial" w:hAnsi="Arial" w:cs="Arial"/>
          <w:b/>
          <w:color w:val="000000"/>
          <w:sz w:val="18"/>
          <w:lang w:eastAsia="en-US"/>
        </w:rPr>
      </w:pPr>
      <w:r>
        <w:rPr>
          <w:rFonts w:cs="Arial" w:ascii="Arial" w:hAnsi="Arial"/>
          <w:b/>
          <w:color w:val="000000"/>
          <w:sz w:val="18"/>
          <w:lang w:eastAsia="en-US"/>
        </w:rPr>
        <w:t xml:space="preserve">Revised:  </w:t>
      </w:r>
      <w:r>
        <w:rPr>
          <w:rFonts w:cs="Arial" w:ascii="Arial" w:hAnsi="Arial"/>
          <w:b/>
          <w:color w:val="000000"/>
          <w:sz w:val="18"/>
          <w:lang w:eastAsia="en-US"/>
        </w:rPr>
        <w:fldChar w:fldCharType="begin"/>
      </w:r>
      <w:r>
        <w:rPr>
          <w:sz w:val="18"/>
          <w:b/>
          <w:rFonts w:cs="Arial" w:ascii="Arial" w:hAnsi="Arial"/>
          <w:color w:val="000000"/>
          <w:lang w:eastAsia="en-US"/>
        </w:rPr>
        <w:instrText xml:space="preserve"> DATE \@"M\/d\/yy\ H:mm\ AM/PM" </w:instrText>
      </w:r>
      <w:r>
        <w:rPr>
          <w:sz w:val="18"/>
          <w:b/>
          <w:rFonts w:cs="Arial" w:ascii="Arial" w:hAnsi="Arial"/>
          <w:color w:val="000000"/>
          <w:lang w:eastAsia="en-US"/>
        </w:rPr>
        <w:fldChar w:fldCharType="separate"/>
      </w:r>
      <w:r>
        <w:rPr>
          <w:sz w:val="18"/>
          <w:b/>
          <w:rFonts w:cs="Arial" w:ascii="Arial" w:hAnsi="Arial"/>
          <w:color w:val="000000"/>
          <w:lang w:eastAsia="en-US"/>
        </w:rPr>
        <w:t>9/28/25 7:49 AM</w:t>
      </w:r>
      <w:r>
        <w:rPr>
          <w:sz w:val="18"/>
          <w:b/>
          <w:rFonts w:cs="Arial" w:ascii="Arial" w:hAnsi="Arial"/>
          <w:color w:val="000000"/>
          <w:lang w:eastAsia="en-US"/>
        </w:rPr>
        <w:fldChar w:fldCharType="end"/>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t>ENRON, WASHINGTON</w:t>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t>MEMORANDUM</w:t>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rFonts w:ascii="Arial" w:hAnsi="Arial" w:cs="Arial"/>
          <w:color w:val="000000"/>
          <w:sz w:val="22"/>
          <w:lang w:eastAsia="en-US"/>
        </w:rPr>
      </w:pPr>
      <w:r>
        <w:rPr>
          <w:rFonts w:cs="Arial" w:ascii="Arial" w:hAnsi="Arial"/>
          <w:color w:val="000000"/>
          <w:sz w:val="22"/>
          <w:lang w:eastAsia="en-US"/>
        </w:rPr>
        <w:t>TO:</w:t>
        <w:tab/>
        <w:tab/>
        <w:tab/>
        <w:t>Rick Shapiro</w:t>
      </w:r>
    </w:p>
    <w:p>
      <w:pPr>
        <w:pStyle w:val="Normal"/>
        <w:ind w:hanging="540" w:start="540" w:end="0"/>
        <w:rPr>
          <w:rFonts w:ascii="Arial" w:hAnsi="Arial" w:cs="Arial"/>
          <w:color w:val="000000"/>
          <w:sz w:val="22"/>
          <w:lang w:eastAsia="en-US"/>
        </w:rPr>
      </w:pPr>
      <w:r>
        <w:rPr>
          <w:rFonts w:cs="Arial" w:ascii="Arial" w:hAnsi="Arial"/>
          <w:color w:val="000000"/>
          <w:sz w:val="22"/>
          <w:lang w:eastAsia="en-US"/>
        </w:rPr>
        <w:t>cc:</w:t>
        <w:tab/>
        <w:tab/>
        <w:tab/>
        <w:t>Ginger Dernehl</w:t>
      </w:r>
    </w:p>
    <w:p>
      <w:pPr>
        <w:pStyle w:val="Normal"/>
        <w:ind w:hanging="540" w:start="540" w:end="0"/>
        <w:rPr>
          <w:rFonts w:ascii="Arial" w:hAnsi="Arial" w:cs="Arial"/>
          <w:color w:val="000000"/>
          <w:sz w:val="22"/>
          <w:lang w:eastAsia="en-US"/>
        </w:rPr>
      </w:pPr>
      <w:r>
        <w:rPr>
          <w:rFonts w:cs="Arial" w:ascii="Arial" w:hAnsi="Arial"/>
          <w:color w:val="000000"/>
          <w:sz w:val="22"/>
          <w:lang w:eastAsia="en-US"/>
        </w:rPr>
        <w:t>FROM:</w:t>
        <w:tab/>
        <w:tab/>
        <w:t>Washington Federal Government Affairs Office</w:t>
      </w:r>
    </w:p>
    <w:p>
      <w:pPr>
        <w:pStyle w:val="Normal"/>
        <w:ind w:hanging="540" w:start="540" w:end="0"/>
        <w:rPr>
          <w:rFonts w:ascii="Arial" w:hAnsi="Arial" w:cs="Arial"/>
          <w:color w:val="000000"/>
          <w:sz w:val="22"/>
          <w:lang w:eastAsia="en-US"/>
        </w:rPr>
      </w:pPr>
      <w:r>
        <w:rPr>
          <w:rFonts w:cs="Arial" w:ascii="Arial" w:hAnsi="Arial"/>
          <w:color w:val="000000"/>
          <w:sz w:val="22"/>
          <w:lang w:eastAsia="en-US"/>
        </w:rPr>
        <w:t>DATE:</w:t>
        <w:tab/>
        <w:tab/>
        <w:t>July 21, 2000</w:t>
      </w:r>
    </w:p>
    <w:p>
      <w:pPr>
        <w:pStyle w:val="Normal"/>
        <w:ind w:hanging="540" w:start="540" w:end="0"/>
        <w:rPr>
          <w:rFonts w:ascii="Arial" w:hAnsi="Arial" w:cs="Arial"/>
          <w:color w:val="000000"/>
          <w:sz w:val="22"/>
          <w:lang w:eastAsia="en-US"/>
        </w:rPr>
      </w:pPr>
      <w:r>
        <w:rPr>
          <w:rFonts w:cs="Arial" w:ascii="Arial" w:hAnsi="Arial"/>
          <w:color w:val="000000"/>
          <w:sz w:val="22"/>
          <w:lang w:eastAsia="en-US"/>
        </w:rPr>
        <w:t>RE:</w:t>
        <w:tab/>
        <w:tab/>
        <w:tab/>
      </w:r>
      <w:r>
        <w:rPr>
          <w:rFonts w:cs="Arial" w:ascii="Arial" w:hAnsi="Arial"/>
          <w:b/>
          <w:color w:val="000000"/>
          <w:sz w:val="22"/>
          <w:lang w:eastAsia="en-US"/>
        </w:rPr>
        <w:t>Anticipated Objectives for 2001</w:t>
      </w:r>
    </w:p>
    <w:p>
      <w:pPr>
        <w:pStyle w:val="Normal"/>
        <w:ind w:hanging="540" w:start="540" w:end="0"/>
        <w:rPr>
          <w:rFonts w:ascii="Arial" w:hAnsi="Arial" w:cs="Arial"/>
          <w:color w:val="000000"/>
          <w:sz w:val="22"/>
          <w:lang w:eastAsia="en-US"/>
        </w:rPr>
      </w:pPr>
      <w:r>
        <w:rPr>
          <w:rFonts w:cs="Arial" w:ascii="Arial" w:hAnsi="Arial"/>
          <w:color w:val="000000"/>
          <w:sz w:val="22"/>
          <w:lang w:eastAsia="en-US"/>
        </w:rPr>
      </w:r>
    </w:p>
    <w:p>
      <w:pPr>
        <w:pStyle w:val="Heading4"/>
        <w:ind w:hanging="0" w:start="0" w:end="0"/>
        <w:rPr/>
      </w:pPr>
      <w:r>
        <w:rPr>
          <w:b w:val="false"/>
          <w:u w:val="none"/>
        </w:rPr>
        <w:t>In November the nation will hold elections for the new administration (takes office on January 20, 2001) and the membership of the 107</w:t>
      </w:r>
      <w:r>
        <w:rPr>
          <w:b w:val="false"/>
          <w:u w:val="none"/>
          <w:vertAlign w:val="superscript"/>
        </w:rPr>
        <w:t>th</w:t>
      </w:r>
      <w:r>
        <w:rPr>
          <w:b w:val="false"/>
          <w:u w:val="none"/>
        </w:rPr>
        <w:t xml:space="preserve"> Congress (convening January 6, 2001.)</w:t>
      </w:r>
    </w:p>
    <w:p>
      <w:pPr>
        <w:pStyle w:val="Normal"/>
        <w:rPr>
          <w:rFonts w:ascii="Arial" w:hAnsi="Arial" w:cs="Arial"/>
          <w:b/>
          <w:sz w:val="22"/>
          <w:u w:val="none"/>
        </w:rPr>
      </w:pPr>
      <w:r>
        <w:rPr>
          <w:rFonts w:cs="Arial" w:ascii="Arial" w:hAnsi="Arial"/>
          <w:b/>
          <w:sz w:val="22"/>
          <w:u w:val="none"/>
        </w:rPr>
      </w:r>
    </w:p>
    <w:p>
      <w:pPr>
        <w:pStyle w:val="Normal"/>
        <w:rPr>
          <w:rFonts w:ascii="Arial" w:hAnsi="Arial" w:cs="Arial"/>
          <w:sz w:val="22"/>
        </w:rPr>
      </w:pPr>
      <w:r>
        <w:rPr>
          <w:rFonts w:cs="Arial" w:ascii="Arial" w:hAnsi="Arial"/>
          <w:sz w:val="22"/>
        </w:rPr>
        <w:t>Both the Executive Branch and the Legislative Branch will establish their agenda at that time which in large part will help to determine how Enron will implement its public policy objectives for 2001 through 2004.</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Several of our objectives are most likely to be recurring issues: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Need to develop relationships with new members of Congress and possibly new leadership in Congress.  Need to develop relationship with the new Administration including the White House and other relevant Federal departments and agencies.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Further consideration of electricity restructuring is possible should this Congress pass less than workable legislation or no legislation.  This year there have been considerable questions raised about our overall energy policy and whether it is outmoded.  2001 could be the oversight year leading to legislation in 2002.</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Other agencies requiring Congressional action (appropriation and authorization) include:  Departments of State, Commerce, Energy, Interior and possibly Defense.  Also agencies such as the CFTC, FCC and FERC.  (This covers our global interests, e-commerce, Enron services and possibly consumer services.)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Annual authorization and appropriations for OPIC, TDA, Ex-Im Bank must be rechartered by September 30, 2001 and their appropriations for FY 2002 must be passed.</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We see a </w:t>
      </w:r>
      <w:r>
        <w:rPr>
          <w:rFonts w:cs="Arial" w:ascii="Arial" w:hAnsi="Arial"/>
          <w:b/>
          <w:sz w:val="22"/>
        </w:rPr>
        <w:t>growing opposition to globalization</w:t>
      </w:r>
      <w:r>
        <w:rPr>
          <w:rFonts w:cs="Arial" w:ascii="Arial" w:hAnsi="Arial"/>
          <w:sz w:val="22"/>
        </w:rPr>
        <w:t xml:space="preserve"> which can result in support for </w:t>
      </w:r>
      <w:r>
        <w:rPr>
          <w:rFonts w:cs="Arial" w:ascii="Arial" w:hAnsi="Arial"/>
          <w:b/>
          <w:sz w:val="22"/>
        </w:rPr>
        <w:t>trade sanctions</w:t>
      </w:r>
      <w:r>
        <w:rPr>
          <w:rFonts w:cs="Arial" w:ascii="Arial" w:hAnsi="Arial"/>
          <w:sz w:val="22"/>
        </w:rPr>
        <w:t xml:space="preserve"> and </w:t>
      </w:r>
      <w:r>
        <w:rPr>
          <w:rFonts w:cs="Arial" w:ascii="Arial" w:hAnsi="Arial"/>
          <w:b/>
          <w:sz w:val="22"/>
        </w:rPr>
        <w:t>environmental riders</w:t>
      </w:r>
      <w:r>
        <w:rPr>
          <w:rFonts w:cs="Arial" w:ascii="Arial" w:hAnsi="Arial"/>
          <w:sz w:val="22"/>
        </w:rPr>
        <w:t xml:space="preserve"> on key bills restricting opportunities or making them costly.  We will seek to remove the application of sanctions and other restrictions.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There will be a variety of tax and finance opportunities or challenges with Congress looking at how to handle the anticipated continuation of the budget surplus.</w:t>
      </w:r>
    </w:p>
    <w:p>
      <w:pPr>
        <w:pStyle w:val="Normal"/>
        <w:rPr>
          <w:rFonts w:ascii="Arial" w:hAnsi="Arial" w:cs="Arial"/>
          <w:sz w:val="22"/>
        </w:rPr>
      </w:pPr>
      <w:r>
        <w:rPr>
          <w:rFonts w:cs="Arial" w:ascii="Arial" w:hAnsi="Arial"/>
          <w:sz w:val="22"/>
        </w:rPr>
      </w:r>
    </w:p>
    <w:p>
      <w:pPr>
        <w:pStyle w:val="BodyTextIndent3"/>
        <w:rPr/>
      </w:pPr>
      <w:r>
        <w:rPr/>
        <w:t>Enron would like to see (a) AMT relief; (b) Reduction in Capital Gains; (c) Foreign tax simplification similar to amendments passed in this Congress but vetoed by the President.  (d) Other tax relief issues Enron businesses not yet identified by our tax department.</w:t>
      </w:r>
    </w:p>
    <w:p>
      <w:pPr>
        <w:pStyle w:val="Normal"/>
        <w:ind w:start="72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Environmental issues such as the Clean Air Act, Clean Water Act, MTBE, and RCRA have been pending the past four years and depending on the outcome of the election could be ripe for consideration.  These present opportunities and challenges.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E-Commerce and Communications issues such as public lands rights-of-way, taxing the internet, access to local communications loops, and restrictions on ownership or transactions could be considered and will be monitored.  </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Human resources issues such as healthcare, pension and social security legislation.</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Commodity Exchange Act and CFTC consideration.</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As our trading business expands to include new commodities (i.e., metals, agriculture and broadband) and Enron Online becomes a more well-known entity, numerous policy, regulatory and political issues are certain to arise.</w:t>
      </w:r>
    </w:p>
    <w:p>
      <w:pPr>
        <w:pStyle w:val="Normal"/>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r>
      <w:rPr>
        <w:rStyle w:val="PageNumber"/>
        <w:rFonts w:cs="Arial" w:ascii="Arial" w:hAnsi="Arial"/>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3"/>
        <w:numId w:val="1"/>
      </w:numPr>
      <w:ind w:hanging="540" w:start="540" w:end="0"/>
      <w:outlineLvl w:val="3"/>
    </w:pPr>
    <w:rPr>
      <w:rFonts w:ascii="Arial" w:hAnsi="Arial" w:cs="Arial"/>
      <w:b/>
      <w:color w:val="000000"/>
      <w:sz w:val="22"/>
      <w:u w:val="single"/>
      <w:lang w:eastAsia="en-U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2000-07-21T17:00:00Z</dcterms:created>
  <dc:creator>Lora A. Sulliva</dc:creator>
  <dc:description/>
  <dc:language>en-CA</dc:language>
  <cp:lastModifiedBy>Lora A. Sulliva</cp:lastModifiedBy>
  <cp:lastPrinted>2000-07-21T16:04:00Z</cp:lastPrinted>
  <dcterms:modified xsi:type="dcterms:W3CDTF">2000-07-21T17:37:00Z</dcterms:modified>
  <cp:revision>4</cp:revision>
  <dc:subject/>
  <dc:title>Revised:  7/21/00 2:43 PM</dc:title>
</cp:coreProperties>
</file>