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pBdr>
          <w:top w:val="thickThinMediumGap" w:sz="24" w:space="5" w:color="000000"/>
          <w:left w:val="thickThinMediumGap" w:sz="24" w:space="4" w:color="000000"/>
          <w:bottom w:val="thickThinMediumGap" w:sz="24" w:space="10" w:color="000000"/>
          <w:right w:val="thickThinMediumGap" w:sz="24" w:space="4" w:color="000000"/>
        </w:pBdr>
        <w:jc w:val="center"/>
        <w:rPr>
          <w:b/>
          <w:sz w:val="32"/>
        </w:rPr>
      </w:pPr>
      <w:r>
        <w:rPr>
          <w:b/>
          <w:sz w:val="32"/>
        </w:rPr>
        <w:t>TW Commercial Team</w:t>
      </w:r>
    </w:p>
    <w:p>
      <w:pPr>
        <w:pStyle w:val="Normal"/>
        <w:pBdr>
          <w:top w:val="thickThinMediumGap" w:sz="24" w:space="5" w:color="000000"/>
          <w:left w:val="thickThinMediumGap" w:sz="24" w:space="4" w:color="000000"/>
          <w:bottom w:val="thickThinMediumGap" w:sz="24" w:space="10" w:color="000000"/>
          <w:right w:val="thickThinMediumGap" w:sz="24" w:space="4" w:color="000000"/>
        </w:pBdr>
        <w:jc w:val="center"/>
        <w:rPr>
          <w:b/>
          <w:sz w:val="32"/>
        </w:rPr>
      </w:pPr>
      <w:r>
        <w:rPr>
          <w:b/>
          <w:sz w:val="32"/>
        </w:rPr>
        <w:t>2000 Goals and Objectives</w:t>
      </w:r>
    </w:p>
    <w:p>
      <w:pPr>
        <w:pStyle w:val="Heading1"/>
        <w:pBdr>
          <w:top w:val="thickThinMediumGap" w:sz="24" w:space="5" w:color="000000"/>
          <w:left w:val="thickThinMediumGap" w:sz="24" w:space="4" w:color="000000"/>
          <w:bottom w:val="thickThinMediumGap" w:sz="24" w:space="10" w:color="000000"/>
          <w:right w:val="thickThinMediumGap" w:sz="24" w:space="4" w:color="000000"/>
        </w:pBdr>
        <w:ind w:hanging="0" w:start="0"/>
        <w:rPr/>
      </w:pPr>
      <w:r>
        <w:rPr/>
        <w:t>October 22, 1999</w:t>
      </w:r>
    </w:p>
    <w:p>
      <w:pPr>
        <w:pStyle w:val="Normal"/>
        <w:rPr/>
      </w:pPr>
      <w:r>
        <w:rPr/>
      </w:r>
    </w:p>
    <w:p>
      <w:pPr>
        <w:pStyle w:val="Normal"/>
        <w:rPr/>
      </w:pPr>
      <w:r>
        <w:rPr/>
      </w:r>
    </w:p>
    <w:p>
      <w:pPr>
        <w:pStyle w:val="Normal"/>
        <w:rPr>
          <w:sz w:val="24"/>
        </w:rPr>
      </w:pPr>
      <w:r>
        <w:rPr>
          <w:sz w:val="24"/>
        </w:rPr>
      </w:r>
    </w:p>
    <w:p>
      <w:pPr>
        <w:pStyle w:val="Normal"/>
        <w:numPr>
          <w:ilvl w:val="0"/>
          <w:numId w:val="11"/>
        </w:numPr>
        <w:rPr>
          <w:b/>
          <w:sz w:val="24"/>
        </w:rPr>
      </w:pPr>
      <w:r>
        <w:rPr>
          <w:b/>
          <w:sz w:val="24"/>
        </w:rPr>
        <w:t xml:space="preserve">Achieve $147.2 million in margin revenue. </w:t>
      </w:r>
    </w:p>
    <w:p>
      <w:pPr>
        <w:pStyle w:val="BodyTextIndent"/>
        <w:rPr/>
      </w:pPr>
      <w:r>
        <w:rPr>
          <w:i/>
        </w:rPr>
        <w:t xml:space="preserve">Met.  </w:t>
      </w:r>
      <w:r>
        <w:rPr/>
        <w:t>Through June 30,</w:t>
      </w:r>
      <w:r>
        <w:rPr>
          <w:i/>
        </w:rPr>
        <w:t xml:space="preserve"> w</w:t>
      </w:r>
      <w:r>
        <w:rPr/>
        <w:t>e have achieved $72 million in margin revenue as set forth in the Plan.</w:t>
      </w:r>
    </w:p>
    <w:p>
      <w:pPr>
        <w:pStyle w:val="Normal"/>
        <w:rPr>
          <w:sz w:val="24"/>
        </w:rPr>
      </w:pPr>
      <w:r>
        <w:rPr>
          <w:sz w:val="24"/>
        </w:rPr>
      </w:r>
    </w:p>
    <w:p>
      <w:pPr>
        <w:pStyle w:val="Normal"/>
        <w:numPr>
          <w:ilvl w:val="0"/>
          <w:numId w:val="4"/>
        </w:numPr>
        <w:rPr>
          <w:b/>
          <w:sz w:val="24"/>
        </w:rPr>
      </w:pPr>
      <w:r>
        <w:rPr>
          <w:b/>
          <w:sz w:val="24"/>
        </w:rPr>
        <w:t xml:space="preserve">Achieve $21 million in fuel revenue (net of UAF) through hedging/financial positions.   </w:t>
      </w:r>
    </w:p>
    <w:p>
      <w:pPr>
        <w:pStyle w:val="BodyTextIndent"/>
        <w:rPr/>
      </w:pPr>
      <w:r>
        <w:rPr>
          <w:i/>
        </w:rPr>
        <w:t>Exceeded</w:t>
      </w:r>
      <w:r>
        <w:rPr/>
        <w:t>.  Through June 30, we have achieved $12.6 million in revenue compared to $11.8 million in the Plan.</w:t>
      </w:r>
    </w:p>
    <w:p>
      <w:pPr>
        <w:pStyle w:val="Normal"/>
        <w:rPr>
          <w:sz w:val="24"/>
        </w:rPr>
      </w:pPr>
      <w:r>
        <w:rPr>
          <w:sz w:val="24"/>
        </w:rPr>
      </w:r>
    </w:p>
    <w:p>
      <w:pPr>
        <w:pStyle w:val="Normal"/>
        <w:numPr>
          <w:ilvl w:val="0"/>
          <w:numId w:val="9"/>
        </w:numPr>
        <w:rPr>
          <w:b/>
          <w:sz w:val="24"/>
        </w:rPr>
      </w:pPr>
      <w:r>
        <w:rPr>
          <w:b/>
          <w:sz w:val="24"/>
        </w:rPr>
        <w:t xml:space="preserve">Receive FERC authority and implement two new services on Transwestern by the end of the second quarter to generate at least $200K in annual revenue.   </w:t>
      </w:r>
    </w:p>
    <w:p>
      <w:pPr>
        <w:pStyle w:val="BodyTextIndent"/>
        <w:rPr/>
      </w:pPr>
      <w:r>
        <w:rPr>
          <w:i/>
        </w:rPr>
        <w:t>In Progress.</w:t>
      </w:r>
      <w:r>
        <w:rPr/>
        <w:t xml:space="preserve">  Placed into effect in February our Enhanced Firm Backhaul service.  Pending before the FERC is our tariff to take capacity on Public Service of New Mexico.  Currently working on the Fuel Monetization service filing and the Transport Option Program.</w:t>
      </w:r>
    </w:p>
    <w:p>
      <w:pPr>
        <w:pStyle w:val="Normal"/>
        <w:rPr>
          <w:sz w:val="24"/>
        </w:rPr>
      </w:pPr>
      <w:r>
        <w:rPr>
          <w:sz w:val="24"/>
        </w:rPr>
      </w:r>
    </w:p>
    <w:p>
      <w:pPr>
        <w:pStyle w:val="Normal"/>
        <w:numPr>
          <w:ilvl w:val="0"/>
          <w:numId w:val="5"/>
        </w:numPr>
        <w:rPr>
          <w:b/>
          <w:sz w:val="24"/>
        </w:rPr>
      </w:pPr>
      <w:r>
        <w:rPr>
          <w:b/>
          <w:sz w:val="24"/>
        </w:rPr>
        <w:t>Attach 25,000 MMBtu/d of incremental gas supply to the TW system by the 3</w:t>
      </w:r>
      <w:r>
        <w:rPr>
          <w:b/>
          <w:sz w:val="24"/>
          <w:vertAlign w:val="superscript"/>
        </w:rPr>
        <w:t>rd</w:t>
      </w:r>
      <w:r>
        <w:rPr>
          <w:b/>
          <w:sz w:val="24"/>
        </w:rPr>
        <w:t xml:space="preserve"> quarter.  </w:t>
      </w:r>
    </w:p>
    <w:p>
      <w:pPr>
        <w:pStyle w:val="BodyTextIndent"/>
        <w:rPr/>
      </w:pPr>
      <w:r>
        <w:rPr>
          <w:i/>
        </w:rPr>
        <w:t>Exceeded</w:t>
      </w:r>
      <w:r>
        <w:rPr/>
        <w:t>.  By the end of July we will have connected 110,000 MMBtu/d of incremental supply to the East end of the TW system.</w:t>
      </w:r>
    </w:p>
    <w:p>
      <w:pPr>
        <w:pStyle w:val="Normal"/>
        <w:rPr>
          <w:sz w:val="24"/>
        </w:rPr>
      </w:pPr>
      <w:r>
        <w:rPr>
          <w:sz w:val="24"/>
        </w:rPr>
      </w:r>
    </w:p>
    <w:p>
      <w:pPr>
        <w:pStyle w:val="Normal"/>
        <w:numPr>
          <w:ilvl w:val="0"/>
          <w:numId w:val="10"/>
        </w:numPr>
        <w:rPr>
          <w:b/>
          <w:sz w:val="24"/>
        </w:rPr>
      </w:pPr>
      <w:r>
        <w:rPr>
          <w:b/>
          <w:sz w:val="24"/>
        </w:rPr>
        <w:t>Fully subscribe all capacity going west, from Ignacio to Blanco and from Blanco to Thoreau by the 1</w:t>
      </w:r>
      <w:r>
        <w:rPr>
          <w:b/>
          <w:sz w:val="24"/>
          <w:vertAlign w:val="superscript"/>
        </w:rPr>
        <w:t>st</w:t>
      </w:r>
      <w:r>
        <w:rPr>
          <w:b/>
          <w:sz w:val="24"/>
        </w:rPr>
        <w:t xml:space="preserve"> quarter to achieve the overall revenue goal. </w:t>
      </w:r>
    </w:p>
    <w:p>
      <w:pPr>
        <w:pStyle w:val="Normal"/>
        <w:ind w:start="720" w:end="0"/>
        <w:rPr/>
      </w:pPr>
      <w:r>
        <w:rPr>
          <w:i/>
          <w:sz w:val="24"/>
        </w:rPr>
        <w:t>Exceeded in part.</w:t>
      </w:r>
      <w:r>
        <w:rPr>
          <w:sz w:val="24"/>
        </w:rPr>
        <w:t xml:space="preserve">  All Ignacio to Blanco and Blanco to Thoreau capacity has been completely subscribed for the entire year.  There is 20,000 MMBtu/d of unsubscribed capacity going West which has been deliberately held for month to month transactions through Enron Online</w:t>
      </w:r>
    </w:p>
    <w:p>
      <w:pPr>
        <w:pStyle w:val="Normal"/>
        <w:rPr>
          <w:sz w:val="24"/>
        </w:rPr>
      </w:pPr>
      <w:r>
        <w:rPr>
          <w:sz w:val="24"/>
        </w:rPr>
      </w:r>
    </w:p>
    <w:p>
      <w:pPr>
        <w:pStyle w:val="Normal"/>
        <w:numPr>
          <w:ilvl w:val="0"/>
          <w:numId w:val="6"/>
        </w:numPr>
        <w:rPr>
          <w:b/>
          <w:sz w:val="24"/>
        </w:rPr>
      </w:pPr>
      <w:r>
        <w:rPr>
          <w:b/>
          <w:sz w:val="24"/>
        </w:rPr>
        <w:t xml:space="preserve">Fully subscribe all daily firm capacity available.   </w:t>
      </w:r>
    </w:p>
    <w:p>
      <w:pPr>
        <w:pStyle w:val="Normal"/>
        <w:ind w:start="720" w:end="0"/>
        <w:rPr/>
      </w:pPr>
      <w:r>
        <w:rPr>
          <w:i/>
          <w:sz w:val="24"/>
        </w:rPr>
        <w:t>Exceeded.</w:t>
      </w:r>
      <w:r>
        <w:rPr>
          <w:sz w:val="24"/>
        </w:rPr>
        <w:t xml:space="preserve">  All daily firm capacity has been sold each month.  By working with Facility Planning and Gas Control, we have actually increased the amount of daily firm capacity that might otherwise have been available to sell.</w:t>
      </w:r>
      <w:r>
        <w:br w:type="page"/>
      </w:r>
    </w:p>
    <w:p>
      <w:pPr>
        <w:pStyle w:val="Normal"/>
        <w:rPr>
          <w:sz w:val="24"/>
        </w:rPr>
      </w:pPr>
      <w:r>
        <w:rPr>
          <w:sz w:val="24"/>
        </w:rPr>
      </w:r>
    </w:p>
    <w:p>
      <w:pPr>
        <w:pStyle w:val="Normal"/>
        <w:numPr>
          <w:ilvl w:val="0"/>
          <w:numId w:val="2"/>
        </w:numPr>
        <w:rPr>
          <w:b/>
          <w:sz w:val="24"/>
        </w:rPr>
      </w:pPr>
      <w:r>
        <w:rPr>
          <w:b/>
          <w:sz w:val="24"/>
        </w:rPr>
        <w:t>Create 10,000 MMBtu/d of incremental capacity on the TW mainline by the 2</w:t>
      </w:r>
      <w:r>
        <w:rPr>
          <w:b/>
          <w:sz w:val="24"/>
          <w:vertAlign w:val="superscript"/>
        </w:rPr>
        <w:t>nd</w:t>
      </w:r>
      <w:r>
        <w:rPr>
          <w:b/>
          <w:sz w:val="24"/>
        </w:rPr>
        <w:t xml:space="preserve"> quarter and fully subscribe the space.   </w:t>
      </w:r>
    </w:p>
    <w:p>
      <w:pPr>
        <w:pStyle w:val="Normal"/>
        <w:ind w:start="720" w:end="0"/>
        <w:rPr/>
      </w:pPr>
      <w:r>
        <w:rPr>
          <w:i/>
          <w:sz w:val="24"/>
        </w:rPr>
        <w:t>In progress.</w:t>
      </w:r>
      <w:r>
        <w:rPr>
          <w:sz w:val="24"/>
        </w:rPr>
        <w:t xml:space="preserve">  By August, we should be able to determine if there is as much as 30,000 MMBtu/d of incremental capacity going West from the Gallup compressor.</w:t>
      </w:r>
    </w:p>
    <w:p>
      <w:pPr>
        <w:pStyle w:val="Normal"/>
        <w:rPr>
          <w:sz w:val="24"/>
        </w:rPr>
      </w:pPr>
      <w:r>
        <w:rPr>
          <w:sz w:val="24"/>
        </w:rPr>
      </w:r>
    </w:p>
    <w:p>
      <w:pPr>
        <w:pStyle w:val="Normal"/>
        <w:numPr>
          <w:ilvl w:val="0"/>
          <w:numId w:val="3"/>
        </w:numPr>
        <w:rPr>
          <w:b/>
          <w:sz w:val="24"/>
        </w:rPr>
      </w:pPr>
      <w:r>
        <w:rPr>
          <w:b/>
          <w:sz w:val="24"/>
        </w:rPr>
        <w:t xml:space="preserve">Evaluate the potential acquisition of the Tuscarora and Pauite Pipelines.   </w:t>
      </w:r>
    </w:p>
    <w:p>
      <w:pPr>
        <w:pStyle w:val="Normal"/>
        <w:ind w:start="720" w:end="0"/>
        <w:rPr/>
      </w:pPr>
      <w:r>
        <w:rPr>
          <w:i/>
          <w:sz w:val="24"/>
        </w:rPr>
        <w:t>In progress.</w:t>
      </w:r>
      <w:r>
        <w:rPr>
          <w:sz w:val="24"/>
        </w:rPr>
        <w:t xml:space="preserve">  We are currently evaluating the potential opportunities/acquisitions of the two pipelines.</w:t>
      </w:r>
    </w:p>
    <w:p>
      <w:pPr>
        <w:pStyle w:val="Normal"/>
        <w:rPr>
          <w:sz w:val="24"/>
        </w:rPr>
      </w:pPr>
      <w:r>
        <w:rPr>
          <w:sz w:val="24"/>
        </w:rPr>
      </w:r>
    </w:p>
    <w:p>
      <w:pPr>
        <w:pStyle w:val="Normal"/>
        <w:numPr>
          <w:ilvl w:val="0"/>
          <w:numId w:val="8"/>
        </w:numPr>
        <w:rPr>
          <w:b/>
          <w:sz w:val="24"/>
        </w:rPr>
      </w:pPr>
      <w:r>
        <w:rPr>
          <w:b/>
          <w:sz w:val="24"/>
        </w:rPr>
        <w:t xml:space="preserve">Complete and place into service by the third quarter the interconnect with Southwest Gas.   </w:t>
      </w:r>
    </w:p>
    <w:p>
      <w:pPr>
        <w:pStyle w:val="Normal"/>
        <w:ind w:start="720" w:end="0"/>
        <w:rPr/>
      </w:pPr>
      <w:r>
        <w:rPr>
          <w:i/>
          <w:sz w:val="24"/>
        </w:rPr>
        <w:t>Exceeded.</w:t>
      </w:r>
      <w:r>
        <w:rPr>
          <w:sz w:val="24"/>
        </w:rPr>
        <w:t xml:space="preserve">  We will have in place by November 1, the interconnect with Southwest Gas.  In addition, we have done a 10 year firm transport deal with them thereby locking in our economics on the project.</w:t>
      </w:r>
    </w:p>
    <w:p>
      <w:pPr>
        <w:pStyle w:val="Normal"/>
        <w:rPr>
          <w:sz w:val="24"/>
        </w:rPr>
      </w:pPr>
      <w:r>
        <w:rPr>
          <w:sz w:val="24"/>
        </w:rPr>
      </w:r>
    </w:p>
    <w:p>
      <w:pPr>
        <w:pStyle w:val="Normal"/>
        <w:numPr>
          <w:ilvl w:val="0"/>
          <w:numId w:val="12"/>
        </w:numPr>
        <w:rPr>
          <w:b/>
          <w:sz w:val="24"/>
        </w:rPr>
      </w:pPr>
      <w:r>
        <w:rPr>
          <w:b/>
          <w:sz w:val="24"/>
        </w:rPr>
        <w:t>Place into service the Gallup Expansion by May 1</w:t>
      </w:r>
      <w:r>
        <w:rPr>
          <w:b/>
          <w:sz w:val="24"/>
          <w:vertAlign w:val="superscript"/>
        </w:rPr>
        <w:t>st</w:t>
      </w:r>
      <w:r>
        <w:rPr>
          <w:b/>
          <w:sz w:val="24"/>
        </w:rPr>
        <w:t xml:space="preserve"> </w:t>
      </w:r>
    </w:p>
    <w:p>
      <w:pPr>
        <w:pStyle w:val="BodyTextIndent"/>
        <w:rPr/>
      </w:pPr>
      <w:r>
        <w:rPr>
          <w:i/>
        </w:rPr>
        <w:t>Met.</w:t>
      </w:r>
      <w:r>
        <w:rPr/>
        <w:t xml:space="preserve">  The Gallup Expansion was placed into service on May 1 with all of the capacity fully contracted for the next five years.</w:t>
      </w:r>
    </w:p>
    <w:p>
      <w:pPr>
        <w:pStyle w:val="Normal"/>
        <w:rPr>
          <w:sz w:val="24"/>
        </w:rPr>
      </w:pPr>
      <w:r>
        <w:rPr>
          <w:sz w:val="24"/>
        </w:rPr>
      </w:r>
    </w:p>
    <w:p>
      <w:pPr>
        <w:pStyle w:val="Normal"/>
        <w:rPr>
          <w:b/>
          <w:sz w:val="28"/>
          <w:u w:val="single"/>
        </w:rPr>
      </w:pPr>
      <w:r>
        <w:rPr>
          <w:b/>
          <w:sz w:val="28"/>
          <w:u w:val="single"/>
        </w:rPr>
        <w:t>Additional Accomplishments:</w:t>
      </w:r>
    </w:p>
    <w:p>
      <w:pPr>
        <w:pStyle w:val="Normal"/>
        <w:rPr>
          <w:b/>
          <w:sz w:val="24"/>
          <w:u w:val="single"/>
        </w:rPr>
      </w:pPr>
      <w:r>
        <w:rPr>
          <w:b/>
          <w:sz w:val="24"/>
          <w:u w:val="single"/>
        </w:rPr>
      </w:r>
    </w:p>
    <w:p>
      <w:pPr>
        <w:pStyle w:val="Normal"/>
        <w:numPr>
          <w:ilvl w:val="0"/>
          <w:numId w:val="7"/>
        </w:numPr>
        <w:rPr>
          <w:sz w:val="24"/>
        </w:rPr>
      </w:pPr>
      <w:r>
        <w:rPr>
          <w:sz w:val="24"/>
        </w:rPr>
        <w:t>Fully subscribed all 400,000 MMBtu/d of TW Mainline East capacity through October, 2001 (over $1 million in incremental revenue).</w:t>
      </w:r>
    </w:p>
    <w:p>
      <w:pPr>
        <w:pStyle w:val="Normal"/>
        <w:rPr>
          <w:sz w:val="24"/>
        </w:rPr>
      </w:pPr>
      <w:r>
        <w:rPr>
          <w:sz w:val="24"/>
        </w:rPr>
      </w:r>
    </w:p>
    <w:p>
      <w:pPr>
        <w:pStyle w:val="Normal"/>
        <w:numPr>
          <w:ilvl w:val="0"/>
          <w:numId w:val="7"/>
        </w:numPr>
        <w:rPr>
          <w:sz w:val="24"/>
          <w:u w:val="single"/>
        </w:rPr>
      </w:pPr>
      <w:r>
        <w:rPr>
          <w:sz w:val="24"/>
        </w:rPr>
        <w:t xml:space="preserve">Created and implemented the process for transportation capacity sales through </w:t>
      </w:r>
      <w:r>
        <w:rPr>
          <w:sz w:val="24"/>
          <w:u w:val="single"/>
        </w:rPr>
        <w:t>Enron Online</w:t>
      </w:r>
      <w:r>
        <w:rPr>
          <w:sz w:val="24"/>
        </w:rPr>
        <w:t xml:space="preserve"> (currently developing the process for NNG as well).</w:t>
      </w:r>
    </w:p>
    <w:p>
      <w:pPr>
        <w:pStyle w:val="Normal"/>
        <w:rPr>
          <w:sz w:val="24"/>
          <w:u w:val="single"/>
        </w:rPr>
      </w:pPr>
      <w:r>
        <w:rPr>
          <w:sz w:val="24"/>
          <w:u w:val="single"/>
        </w:rPr>
      </w:r>
    </w:p>
    <w:p>
      <w:pPr>
        <w:pStyle w:val="Normal"/>
        <w:numPr>
          <w:ilvl w:val="0"/>
          <w:numId w:val="7"/>
        </w:numPr>
        <w:rPr>
          <w:sz w:val="24"/>
        </w:rPr>
      </w:pPr>
      <w:r>
        <w:rPr>
          <w:sz w:val="24"/>
        </w:rPr>
        <w:t>Placed into service our facilities for the Griffith power plant in Arizona which will be fully operational in the 1st quarter of 2001.</w:t>
      </w:r>
    </w:p>
    <w:p>
      <w:pPr>
        <w:pStyle w:val="Normal"/>
        <w:rPr>
          <w:sz w:val="24"/>
        </w:rPr>
      </w:pPr>
      <w:r>
        <w:rPr>
          <w:sz w:val="24"/>
        </w:rPr>
      </w:r>
    </w:p>
    <w:p>
      <w:pPr>
        <w:pStyle w:val="Normal"/>
        <w:numPr>
          <w:ilvl w:val="0"/>
          <w:numId w:val="7"/>
        </w:numPr>
        <w:rPr>
          <w:sz w:val="24"/>
        </w:rPr>
      </w:pPr>
      <w:r>
        <w:rPr>
          <w:sz w:val="24"/>
        </w:rPr>
        <w:t>Developed and sponsored a receipt point access protocol in the California SoCalGas restructuring proceeding.  The plan was supported by the settling parties and is now before the CPUC.  Potential value at risk to TW could have been as much as $19 million/year in reservation charges on 200,000 MMBtu/day of capacity.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Last update - </w:t>
    </w: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1"/>
      <w:numFmt w:val="bullet"/>
      <w:lvlText w:val=""/>
      <w:lvlJc w:val="start"/>
      <w:pPr>
        <w:tabs>
          <w:tab w:val="num" w:pos="360"/>
        </w:tabs>
        <w:ind w:start="360" w:hanging="360"/>
      </w:pPr>
      <w:rPr>
        <w:rFonts w:ascii="Wingdings" w:hAnsi="Wingdings" w:cs="Wingdings" w:hint="default"/>
        <w:sz w:val="16"/>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pBdr>
        <w:top w:val="thickThinMediumGap" w:sz="24" w:space="1" w:color="000000"/>
        <w:left w:val="thickThinMediumGap" w:sz="24" w:space="4" w:color="000000"/>
        <w:bottom w:val="thickThinMediumGap" w:sz="24" w:space="1" w:color="000000"/>
        <w:right w:val="thickThinMediumGap" w:sz="24" w:space="4" w:color="000000"/>
      </w:pBdr>
      <w:jc w:val="center"/>
      <w:outlineLvl w:val="0"/>
    </w:pPr>
    <w:rPr>
      <w:b/>
      <w:sz w:val="24"/>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sz w:val="16"/>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1999-10-22T10:43:00Z</dcterms:created>
  <dc:creator>aroberts</dc:creator>
  <dc:description/>
  <dc:language>en-CA</dc:language>
  <cp:lastModifiedBy>Enron</cp:lastModifiedBy>
  <cp:lastPrinted>2000-07-06T11:03:00Z</cp:lastPrinted>
  <dcterms:modified xsi:type="dcterms:W3CDTF">2000-07-06T13:33:00Z</dcterms:modified>
  <cp:revision>11</cp:revision>
  <dc:subject/>
  <dc:title>TW Commercial Group</dc:title>
</cp:coreProperties>
</file>