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60"/>
        <w:ind w:hanging="0" w:start="0"/>
        <w:rPr/>
      </w:pPr>
      <w:r>
        <w:rPr/>
        <w:t>Overall Strategy</w:t>
      </w:r>
    </w:p>
    <w:p>
      <w:pPr>
        <w:pStyle w:val="ListBullet21"/>
        <w:numPr>
          <w:ilvl w:val="0"/>
          <w:numId w:val="9"/>
        </w:numPr>
        <w:ind w:hanging="360" w:start="540" w:end="0"/>
        <w:rPr/>
      </w:pPr>
      <w:r>
        <w:rPr/>
        <w:t>Seek to grow net income by the timely capture of the revenue value attributed by the market to the services it needs with specific attention to power markets and by reduction/management of operating expenses.</w:t>
      </w:r>
    </w:p>
    <w:p>
      <w:pPr>
        <w:pStyle w:val="ListBullet21"/>
        <w:numPr>
          <w:ilvl w:val="0"/>
          <w:numId w:val="9"/>
        </w:numPr>
        <w:ind w:hanging="360" w:start="540" w:end="0"/>
        <w:rPr/>
      </w:pPr>
      <w:r>
        <w:rPr/>
        <w:t>Aggressively apply capital resources for market expansion, for responses to challenges from competition, for operations cost improvement, and for maintenance of system integrity.</w:t>
      </w:r>
    </w:p>
    <w:p>
      <w:pPr>
        <w:pStyle w:val="ListBullet21"/>
        <w:numPr>
          <w:ilvl w:val="0"/>
          <w:numId w:val="9"/>
        </w:numPr>
        <w:ind w:hanging="360" w:start="540" w:end="0"/>
        <w:rPr/>
      </w:pPr>
      <w:r>
        <w:rPr/>
        <w:t>Develop culture across the Company for the generation and implementation of ideas in support of profitability and aggressively work to enhance intellectual capital.</w:t>
      </w:r>
    </w:p>
    <w:p>
      <w:pPr>
        <w:pStyle w:val="ListBullet21"/>
        <w:numPr>
          <w:ilvl w:val="0"/>
          <w:numId w:val="9"/>
        </w:numPr>
        <w:ind w:hanging="360" w:start="540" w:end="0"/>
        <w:rPr/>
      </w:pPr>
      <w:r>
        <w:rPr/>
        <w:t>Continually re-evaluate asset base for potential acquisitions or divestitures.</w:t>
      </w:r>
    </w:p>
    <w:p>
      <w:pPr>
        <w:pStyle w:val="ListBullet21"/>
        <w:numPr>
          <w:ilvl w:val="0"/>
          <w:numId w:val="9"/>
        </w:numPr>
        <w:ind w:hanging="360" w:start="540" w:end="0"/>
        <w:rPr/>
      </w:pPr>
      <w:r>
        <w:rPr/>
        <w:t>Continue evaluation of customer service satisfaction and continually review/revamp procedures and employee mindset across the Company to insure delivery of the highest attainable service levels.</w:t>
      </w:r>
    </w:p>
    <w:p>
      <w:pPr>
        <w:pStyle w:val="ListBullet21"/>
        <w:rPr/>
      </w:pPr>
      <w:r>
        <w:rPr/>
      </w:r>
    </w:p>
    <w:p>
      <w:pPr>
        <w:pStyle w:val="ListBullet21"/>
        <w:rPr>
          <w:sz w:val="28"/>
        </w:rPr>
      </w:pPr>
      <w:r>
        <w:rPr>
          <w:sz w:val="28"/>
        </w:rPr>
        <w:t>Focus Areas</w:t>
      </w:r>
    </w:p>
    <w:p>
      <w:pPr>
        <w:pStyle w:val="ListBullet21"/>
        <w:rPr>
          <w:sz w:val="28"/>
        </w:rPr>
      </w:pPr>
      <w:r>
        <w:rPr>
          <w:sz w:val="28"/>
        </w:rPr>
      </w:r>
    </w:p>
    <w:p>
      <w:pPr>
        <w:pStyle w:val="ListBullet21"/>
        <w:numPr>
          <w:ilvl w:val="0"/>
          <w:numId w:val="4"/>
        </w:numPr>
        <w:ind w:hanging="540" w:start="540" w:end="0"/>
        <w:rPr/>
      </w:pPr>
      <w:r>
        <w:rPr/>
        <w:t>Anticipate continuing changes in North American gas flows, pursue new market opportunities for natural gas, protect current markets, and capture end-users in potential markets capable of by-pass.</w:t>
      </w:r>
    </w:p>
    <w:p>
      <w:pPr>
        <w:pStyle w:val="ListBullet21"/>
        <w:numPr>
          <w:ilvl w:val="0"/>
          <w:numId w:val="12"/>
        </w:numPr>
        <w:tabs>
          <w:tab w:val="clear" w:pos="540"/>
        </w:tabs>
        <w:ind w:hanging="360" w:start="900" w:end="0"/>
        <w:rPr>
          <w:b w:val="false"/>
          <w:sz w:val="22"/>
        </w:rPr>
      </w:pPr>
      <w:r>
        <w:rPr>
          <w:b w:val="false"/>
          <w:sz w:val="22"/>
        </w:rPr>
        <w:t>In conjunction with Enron Competitive Analysis, continue regular update of Gas Flows Study, and insure internal dissemination and discussion of results.</w:t>
      </w:r>
    </w:p>
    <w:p>
      <w:pPr>
        <w:pStyle w:val="ListBullet21"/>
        <w:numPr>
          <w:ilvl w:val="0"/>
          <w:numId w:val="12"/>
        </w:numPr>
        <w:tabs>
          <w:tab w:val="clear" w:pos="540"/>
        </w:tabs>
        <w:ind w:hanging="360" w:start="900" w:end="0"/>
        <w:rPr>
          <w:b w:val="false"/>
          <w:sz w:val="22"/>
        </w:rPr>
      </w:pPr>
      <w:r>
        <w:rPr>
          <w:b w:val="false"/>
          <w:sz w:val="22"/>
        </w:rPr>
        <w:t>Continue development of traditional markets.</w:t>
      </w:r>
    </w:p>
    <w:p>
      <w:pPr>
        <w:pStyle w:val="ListBullet21"/>
        <w:numPr>
          <w:ilvl w:val="0"/>
          <w:numId w:val="3"/>
        </w:numPr>
        <w:tabs>
          <w:tab w:val="clear" w:pos="540"/>
          <w:tab w:val="left" w:pos="1260" w:leader="none"/>
        </w:tabs>
        <w:ind w:hanging="360" w:start="1260" w:end="0"/>
        <w:rPr>
          <w:b w:val="false"/>
          <w:sz w:val="22"/>
        </w:rPr>
      </w:pPr>
      <w:r>
        <w:rPr>
          <w:b w:val="false"/>
          <w:sz w:val="22"/>
        </w:rPr>
        <w:t>Peak Day 2000 Phases IV– V</w:t>
      </w:r>
    </w:p>
    <w:p>
      <w:pPr>
        <w:pStyle w:val="ListBullet21"/>
        <w:numPr>
          <w:ilvl w:val="0"/>
          <w:numId w:val="3"/>
        </w:numPr>
        <w:tabs>
          <w:tab w:val="clear" w:pos="540"/>
          <w:tab w:val="left" w:pos="1260" w:leader="none"/>
        </w:tabs>
        <w:ind w:hanging="360" w:start="1260" w:end="0"/>
        <w:rPr>
          <w:b w:val="false"/>
          <w:sz w:val="22"/>
        </w:rPr>
      </w:pPr>
      <w:r>
        <w:rPr>
          <w:b w:val="false"/>
          <w:sz w:val="22"/>
        </w:rPr>
        <w:t>Develop services to provide incremental peak shaving or to utilize existing customer peak shaving to serve other customers.</w:t>
      </w:r>
    </w:p>
    <w:p>
      <w:pPr>
        <w:pStyle w:val="ListBullet21"/>
        <w:numPr>
          <w:ilvl w:val="0"/>
          <w:numId w:val="3"/>
        </w:numPr>
        <w:tabs>
          <w:tab w:val="clear" w:pos="540"/>
          <w:tab w:val="left" w:pos="1260" w:leader="none"/>
        </w:tabs>
        <w:ind w:hanging="360" w:start="1260" w:end="0"/>
        <w:rPr>
          <w:b w:val="false"/>
          <w:sz w:val="22"/>
        </w:rPr>
      </w:pPr>
      <w:r>
        <w:rPr>
          <w:b w:val="false"/>
          <w:sz w:val="22"/>
        </w:rPr>
        <w:t>Develop new expansion/extension alternatives (Peak Day 2002, San Juan – Phase IV).</w:t>
      </w:r>
    </w:p>
    <w:p>
      <w:pPr>
        <w:pStyle w:val="ListBullet21"/>
        <w:numPr>
          <w:ilvl w:val="0"/>
          <w:numId w:val="3"/>
        </w:numPr>
        <w:tabs>
          <w:tab w:val="clear" w:pos="540"/>
          <w:tab w:val="left" w:pos="1260" w:leader="none"/>
        </w:tabs>
        <w:ind w:hanging="360" w:start="1260" w:end="0"/>
        <w:rPr>
          <w:b w:val="false"/>
          <w:sz w:val="22"/>
        </w:rPr>
      </w:pPr>
      <w:r>
        <w:rPr>
          <w:b w:val="false"/>
          <w:sz w:val="22"/>
        </w:rPr>
        <w:t>Develop Carlton strategy which eliminates required flow order but incents gas to flow without surcharge impact on NNG.</w:t>
      </w:r>
    </w:p>
    <w:p>
      <w:pPr>
        <w:pStyle w:val="ListBullet21"/>
        <w:numPr>
          <w:ilvl w:val="0"/>
          <w:numId w:val="12"/>
        </w:numPr>
        <w:tabs>
          <w:tab w:val="clear" w:pos="540"/>
        </w:tabs>
        <w:ind w:hanging="360" w:start="900" w:end="0"/>
        <w:rPr>
          <w:b w:val="false"/>
          <w:sz w:val="22"/>
        </w:rPr>
      </w:pPr>
      <w:r>
        <w:rPr>
          <w:b w:val="false"/>
          <w:sz w:val="22"/>
        </w:rPr>
        <w:t>Increase emphasis on power plant and end-user markets.</w:t>
      </w:r>
    </w:p>
    <w:p>
      <w:pPr>
        <w:pStyle w:val="ListBullet21"/>
        <w:numPr>
          <w:ilvl w:val="0"/>
          <w:numId w:val="3"/>
        </w:numPr>
        <w:tabs>
          <w:tab w:val="clear" w:pos="540"/>
          <w:tab w:val="left" w:pos="1260" w:leader="none"/>
        </w:tabs>
        <w:ind w:hanging="360" w:start="1260" w:end="0"/>
        <w:rPr>
          <w:b w:val="false"/>
          <w:sz w:val="22"/>
        </w:rPr>
      </w:pPr>
      <w:r>
        <w:rPr>
          <w:b w:val="false"/>
          <w:sz w:val="22"/>
        </w:rPr>
        <w:t>Dedicate marketing resources specifically on identifying and developing power market opportunities.</w:t>
      </w:r>
    </w:p>
    <w:p>
      <w:pPr>
        <w:pStyle w:val="ListBullet21"/>
        <w:numPr>
          <w:ilvl w:val="0"/>
          <w:numId w:val="3"/>
        </w:numPr>
        <w:tabs>
          <w:tab w:val="clear" w:pos="540"/>
          <w:tab w:val="left" w:pos="1260" w:leader="none"/>
        </w:tabs>
        <w:ind w:hanging="360" w:start="1260" w:end="0"/>
        <w:rPr>
          <w:b w:val="false"/>
          <w:sz w:val="22"/>
        </w:rPr>
      </w:pPr>
      <w:r>
        <w:rPr>
          <w:b w:val="false"/>
          <w:sz w:val="22"/>
        </w:rPr>
        <w:t>Identify power plant opportunities and proposed capital projects.</w:t>
      </w:r>
    </w:p>
    <w:p>
      <w:pPr>
        <w:pStyle w:val="ListBullet21"/>
        <w:numPr>
          <w:ilvl w:val="0"/>
          <w:numId w:val="3"/>
        </w:numPr>
        <w:tabs>
          <w:tab w:val="clear" w:pos="540"/>
          <w:tab w:val="left" w:pos="1260" w:leader="none"/>
        </w:tabs>
        <w:ind w:hanging="360" w:start="1260" w:end="0"/>
        <w:rPr>
          <w:b w:val="false"/>
          <w:sz w:val="22"/>
        </w:rPr>
      </w:pPr>
      <w:r>
        <w:rPr>
          <w:b w:val="false"/>
          <w:sz w:val="22"/>
        </w:rPr>
        <w:t>Coordinate with other Enron units (FGT, ENA) to keep current on power plant characteristics and deal negotiation.</w:t>
      </w:r>
    </w:p>
    <w:p>
      <w:pPr>
        <w:pStyle w:val="ListBullet21"/>
        <w:numPr>
          <w:ilvl w:val="0"/>
          <w:numId w:val="3"/>
        </w:numPr>
        <w:tabs>
          <w:tab w:val="clear" w:pos="540"/>
          <w:tab w:val="left" w:pos="1260" w:leader="none"/>
        </w:tabs>
        <w:ind w:hanging="360" w:start="1260" w:end="0"/>
        <w:rPr>
          <w:b w:val="false"/>
          <w:sz w:val="22"/>
        </w:rPr>
      </w:pPr>
      <w:r>
        <w:rPr>
          <w:b w:val="false"/>
          <w:sz w:val="22"/>
        </w:rPr>
        <w:t>Identify new end-users and potentials for enhanced services to existing end-users.</w:t>
      </w:r>
    </w:p>
    <w:p>
      <w:pPr>
        <w:pStyle w:val="ListBullet21"/>
        <w:numPr>
          <w:ilvl w:val="0"/>
          <w:numId w:val="3"/>
        </w:numPr>
        <w:tabs>
          <w:tab w:val="clear" w:pos="540"/>
          <w:tab w:val="left" w:pos="1260" w:leader="none"/>
        </w:tabs>
        <w:ind w:hanging="360" w:start="1260" w:end="0"/>
        <w:rPr>
          <w:b w:val="false"/>
          <w:sz w:val="22"/>
        </w:rPr>
      </w:pPr>
      <w:r>
        <w:rPr>
          <w:b w:val="false"/>
          <w:sz w:val="22"/>
        </w:rPr>
        <w:t>Serve end-users directly where traditional contracts are being terminated or converted to short-term service.</w:t>
      </w:r>
    </w:p>
    <w:p>
      <w:pPr>
        <w:pStyle w:val="ListBullet21"/>
        <w:numPr>
          <w:ilvl w:val="0"/>
          <w:numId w:val="12"/>
        </w:numPr>
        <w:tabs>
          <w:tab w:val="clear" w:pos="540"/>
        </w:tabs>
        <w:ind w:hanging="360" w:start="900" w:end="0"/>
        <w:rPr>
          <w:b w:val="false"/>
          <w:sz w:val="22"/>
        </w:rPr>
      </w:pPr>
      <w:r>
        <w:rPr>
          <w:b w:val="false"/>
          <w:sz w:val="22"/>
        </w:rPr>
        <w:t>Develop a strategy and market plan in response to changes resulting from increased Rocky Mountain gas production and resultant flows</w:t>
      </w:r>
    </w:p>
    <w:p>
      <w:pPr>
        <w:pStyle w:val="ListBullet21"/>
        <w:numPr>
          <w:ilvl w:val="0"/>
          <w:numId w:val="12"/>
        </w:numPr>
        <w:tabs>
          <w:tab w:val="clear" w:pos="540"/>
        </w:tabs>
        <w:ind w:hanging="360" w:start="900" w:end="0"/>
        <w:rPr>
          <w:b w:val="false"/>
          <w:sz w:val="22"/>
        </w:rPr>
      </w:pPr>
      <w:r>
        <w:rPr>
          <w:b w:val="false"/>
          <w:sz w:val="22"/>
        </w:rPr>
        <w:t>Develop market plans in response to changes resulting from NBPL expansion and Alliance pipeline in-service and the resultant by-pass in NNG’s primary market and potential “back-up” of the Viking system</w:t>
      </w:r>
    </w:p>
    <w:p>
      <w:pPr>
        <w:pStyle w:val="ListBullet21"/>
        <w:numPr>
          <w:ilvl w:val="0"/>
          <w:numId w:val="3"/>
        </w:numPr>
        <w:tabs>
          <w:tab w:val="clear" w:pos="540"/>
          <w:tab w:val="left" w:pos="1260" w:leader="none"/>
        </w:tabs>
        <w:ind w:hanging="360" w:start="1260" w:end="0"/>
        <w:rPr>
          <w:b w:val="false"/>
          <w:sz w:val="22"/>
        </w:rPr>
      </w:pPr>
      <w:r>
        <w:rPr>
          <w:b w:val="false"/>
          <w:sz w:val="22"/>
        </w:rPr>
        <w:t>Increased Canadian volumes to and through NNG’s primary market.</w:t>
      </w:r>
    </w:p>
    <w:p>
      <w:pPr>
        <w:pStyle w:val="ListBullet21"/>
        <w:numPr>
          <w:ilvl w:val="0"/>
          <w:numId w:val="3"/>
        </w:numPr>
        <w:tabs>
          <w:tab w:val="clear" w:pos="540"/>
          <w:tab w:val="left" w:pos="1260" w:leader="none"/>
        </w:tabs>
        <w:ind w:hanging="360" w:start="1260" w:end="0"/>
        <w:rPr>
          <w:b w:val="false"/>
          <w:sz w:val="22"/>
        </w:rPr>
      </w:pPr>
      <w:r>
        <w:rPr>
          <w:b w:val="false"/>
          <w:sz w:val="22"/>
        </w:rPr>
        <w:t>Significant changes in both threats and opportunities in Wisconsin, Illinois, and Iowa</w:t>
      </w:r>
    </w:p>
    <w:p>
      <w:pPr>
        <w:pStyle w:val="ListBullet21"/>
        <w:numPr>
          <w:ilvl w:val="0"/>
          <w:numId w:val="3"/>
        </w:numPr>
        <w:tabs>
          <w:tab w:val="clear" w:pos="540"/>
          <w:tab w:val="left" w:pos="1260" w:leader="none"/>
        </w:tabs>
        <w:ind w:hanging="360" w:start="1260" w:end="0"/>
        <w:rPr>
          <w:b w:val="false"/>
          <w:sz w:val="22"/>
        </w:rPr>
      </w:pPr>
      <w:r>
        <w:rPr>
          <w:b w:val="false"/>
          <w:sz w:val="22"/>
        </w:rPr>
        <w:t>Increased flows west to California – especially Northern California</w:t>
      </w:r>
    </w:p>
    <w:p>
      <w:pPr>
        <w:pStyle w:val="ListBullet21"/>
        <w:numPr>
          <w:ilvl w:val="0"/>
          <w:numId w:val="12"/>
        </w:numPr>
        <w:tabs>
          <w:tab w:val="clear" w:pos="540"/>
        </w:tabs>
        <w:ind w:hanging="360" w:start="900" w:end="0"/>
        <w:rPr>
          <w:b w:val="false"/>
          <w:sz w:val="22"/>
        </w:rPr>
      </w:pPr>
      <w:r>
        <w:rPr>
          <w:b w:val="false"/>
          <w:sz w:val="22"/>
        </w:rPr>
        <w:t>Define options to respond to the new pipeline infrastructure resulting from mergers and consolidations</w:t>
      </w:r>
    </w:p>
    <w:p>
      <w:pPr>
        <w:pStyle w:val="ListBullet21"/>
        <w:rPr>
          <w:b w:val="false"/>
          <w:sz w:val="22"/>
        </w:rPr>
      </w:pPr>
      <w:r>
        <w:rPr>
          <w:b w:val="false"/>
          <w:sz w:val="22"/>
        </w:rPr>
      </w:r>
    </w:p>
    <w:p>
      <w:pPr>
        <w:pStyle w:val="ListBullet21"/>
        <w:numPr>
          <w:ilvl w:val="0"/>
          <w:numId w:val="4"/>
        </w:numPr>
        <w:ind w:hanging="540" w:start="540" w:end="0"/>
        <w:rPr>
          <w:sz w:val="22"/>
        </w:rPr>
      </w:pPr>
      <w:r>
        <w:rPr/>
        <w:t>Re-evaluate NNG’s north-end and south-end asset operations to identify candidates for swap/sale.  Avoid stranded assets due to changing markets and Canadian gas flows.</w:t>
      </w:r>
    </w:p>
    <w:p>
      <w:pPr>
        <w:pStyle w:val="ListBullet21"/>
        <w:numPr>
          <w:ilvl w:val="0"/>
          <w:numId w:val="8"/>
        </w:numPr>
        <w:tabs>
          <w:tab w:val="clear" w:pos="540"/>
          <w:tab w:val="left" w:pos="900" w:leader="none"/>
        </w:tabs>
        <w:ind w:hanging="360" w:start="900" w:end="0"/>
        <w:rPr>
          <w:sz w:val="22"/>
        </w:rPr>
      </w:pPr>
      <w:r>
        <w:rPr>
          <w:b w:val="false"/>
          <w:sz w:val="22"/>
        </w:rPr>
        <w:t>Define options to respond to:</w:t>
      </w:r>
    </w:p>
    <w:p>
      <w:pPr>
        <w:pStyle w:val="ListBullet21"/>
        <w:numPr>
          <w:ilvl w:val="0"/>
          <w:numId w:val="11"/>
        </w:numPr>
        <w:tabs>
          <w:tab w:val="clear" w:pos="540"/>
          <w:tab w:val="left" w:pos="1260" w:leader="none"/>
        </w:tabs>
        <w:ind w:hanging="360" w:start="1260" w:end="0"/>
        <w:rPr>
          <w:sz w:val="22"/>
        </w:rPr>
      </w:pPr>
      <w:r>
        <w:rPr>
          <w:b w:val="false"/>
          <w:sz w:val="22"/>
        </w:rPr>
        <w:t>Potential seasonal north-to-south flow on NNG</w:t>
      </w:r>
    </w:p>
    <w:p>
      <w:pPr>
        <w:pStyle w:val="ListBullet21"/>
        <w:numPr>
          <w:ilvl w:val="0"/>
          <w:numId w:val="11"/>
        </w:numPr>
        <w:tabs>
          <w:tab w:val="clear" w:pos="540"/>
          <w:tab w:val="left" w:pos="1260" w:leader="none"/>
        </w:tabs>
        <w:ind w:hanging="360" w:start="1260" w:end="0"/>
        <w:rPr>
          <w:b w:val="false"/>
          <w:sz w:val="22"/>
        </w:rPr>
      </w:pPr>
      <w:r>
        <w:rPr>
          <w:b w:val="false"/>
          <w:sz w:val="22"/>
        </w:rPr>
        <w:t>Potential expansion of Trailblazer pipeline and extension east to ANR, PEPL, and WNG markets</w:t>
      </w:r>
    </w:p>
    <w:p>
      <w:pPr>
        <w:pStyle w:val="ListBullet21"/>
        <w:numPr>
          <w:ilvl w:val="0"/>
          <w:numId w:val="11"/>
        </w:numPr>
        <w:tabs>
          <w:tab w:val="clear" w:pos="540"/>
          <w:tab w:val="left" w:pos="1260" w:leader="none"/>
        </w:tabs>
        <w:ind w:hanging="360" w:start="1260" w:end="0"/>
        <w:rPr>
          <w:b w:val="false"/>
          <w:sz w:val="22"/>
        </w:rPr>
      </w:pPr>
      <w:r>
        <w:rPr>
          <w:b w:val="false"/>
          <w:sz w:val="22"/>
        </w:rPr>
        <w:t xml:space="preserve">Development of distributed power generation plants </w:t>
      </w:r>
    </w:p>
    <w:p>
      <w:pPr>
        <w:pStyle w:val="ListBullet21"/>
        <w:numPr>
          <w:ilvl w:val="0"/>
          <w:numId w:val="11"/>
        </w:numPr>
        <w:tabs>
          <w:tab w:val="clear" w:pos="540"/>
          <w:tab w:val="left" w:pos="1260" w:leader="none"/>
        </w:tabs>
        <w:ind w:hanging="360" w:start="1260" w:end="0"/>
        <w:rPr>
          <w:sz w:val="22"/>
        </w:rPr>
      </w:pPr>
      <w:r>
        <w:rPr>
          <w:b w:val="false"/>
          <w:sz w:val="22"/>
        </w:rPr>
        <w:t>Potential for additional TW traditional west volumes to California markets</w:t>
      </w:r>
    </w:p>
    <w:p>
      <w:pPr>
        <w:pStyle w:val="ListBullet21"/>
        <w:numPr>
          <w:ilvl w:val="0"/>
          <w:numId w:val="11"/>
        </w:numPr>
        <w:tabs>
          <w:tab w:val="clear" w:pos="540"/>
          <w:tab w:val="left" w:pos="1260" w:leader="none"/>
        </w:tabs>
        <w:ind w:hanging="360" w:start="1260" w:end="0"/>
        <w:rPr>
          <w:sz w:val="22"/>
        </w:rPr>
      </w:pPr>
      <w:r>
        <w:rPr>
          <w:b w:val="false"/>
          <w:sz w:val="22"/>
        </w:rPr>
        <w:t>Change in Texas intrastate market/supply mix</w:t>
      </w:r>
    </w:p>
    <w:p>
      <w:pPr>
        <w:pStyle w:val="ListBullet21"/>
        <w:numPr>
          <w:ilvl w:val="0"/>
          <w:numId w:val="8"/>
        </w:numPr>
        <w:tabs>
          <w:tab w:val="clear" w:pos="540"/>
          <w:tab w:val="left" w:pos="900" w:leader="none"/>
        </w:tabs>
        <w:ind w:hanging="360" w:start="900" w:end="0"/>
        <w:rPr>
          <w:sz w:val="22"/>
        </w:rPr>
      </w:pPr>
      <w:r>
        <w:rPr>
          <w:b w:val="false"/>
          <w:sz w:val="22"/>
        </w:rPr>
        <w:t>Continually review pipeline system for appropriate abandonment or retirement actions.</w:t>
      </w:r>
    </w:p>
    <w:p>
      <w:pPr>
        <w:pStyle w:val="ListBullet21"/>
        <w:numPr>
          <w:ilvl w:val="0"/>
          <w:numId w:val="10"/>
        </w:numPr>
        <w:tabs>
          <w:tab w:val="clear" w:pos="540"/>
          <w:tab w:val="left" w:pos="1260" w:leader="none"/>
        </w:tabs>
        <w:ind w:hanging="360" w:start="1260" w:end="0"/>
        <w:rPr>
          <w:sz w:val="22"/>
        </w:rPr>
      </w:pPr>
      <w:r>
        <w:rPr>
          <w:b w:val="false"/>
          <w:sz w:val="22"/>
        </w:rPr>
        <w:t>Changes needed to align with entitlement reshaping as customers shift from annual to seasonal entitlements</w:t>
      </w:r>
    </w:p>
    <w:p>
      <w:pPr>
        <w:pStyle w:val="ListBullet21"/>
        <w:numPr>
          <w:ilvl w:val="0"/>
          <w:numId w:val="10"/>
        </w:numPr>
        <w:tabs>
          <w:tab w:val="clear" w:pos="540"/>
          <w:tab w:val="left" w:pos="1260" w:leader="none"/>
        </w:tabs>
        <w:ind w:hanging="360" w:start="1260" w:end="0"/>
        <w:rPr>
          <w:sz w:val="22"/>
        </w:rPr>
      </w:pPr>
      <w:r>
        <w:rPr>
          <w:b w:val="false"/>
          <w:sz w:val="22"/>
        </w:rPr>
        <w:t>Changes to abandon unused, under-utilized, or obsolete plant</w:t>
      </w:r>
    </w:p>
    <w:p>
      <w:pPr>
        <w:pStyle w:val="ListBullet21"/>
        <w:numPr>
          <w:ilvl w:val="0"/>
          <w:numId w:val="8"/>
        </w:numPr>
        <w:tabs>
          <w:tab w:val="clear" w:pos="540"/>
          <w:tab w:val="left" w:pos="900" w:leader="none"/>
        </w:tabs>
        <w:ind w:hanging="360" w:start="900" w:end="0"/>
        <w:rPr>
          <w:sz w:val="22"/>
        </w:rPr>
      </w:pPr>
      <w:r>
        <w:rPr>
          <w:b w:val="false"/>
          <w:sz w:val="22"/>
        </w:rPr>
        <w:t>Institute an asset evaluation of NNG’s South End to determine potential for joint NNG/TW ownership or transfer of pipeline assets to TW in order to improve TW supply and ET&amp;S total profitability.</w:t>
      </w:r>
    </w:p>
    <w:p>
      <w:pPr>
        <w:pStyle w:val="ListBullet21"/>
        <w:tabs>
          <w:tab w:val="clear" w:pos="540"/>
          <w:tab w:val="left" w:pos="900" w:leader="none"/>
        </w:tabs>
        <w:ind w:hanging="0" w:start="0" w:end="0"/>
        <w:rPr>
          <w:sz w:val="22"/>
        </w:rPr>
      </w:pPr>
      <w:r>
        <w:rPr>
          <w:sz w:val="22"/>
        </w:rPr>
      </w:r>
    </w:p>
    <w:p>
      <w:pPr>
        <w:pStyle w:val="ListBullet21"/>
        <w:numPr>
          <w:ilvl w:val="0"/>
          <w:numId w:val="4"/>
        </w:numPr>
        <w:ind w:hanging="540" w:start="540" w:end="0"/>
        <w:rPr>
          <w:sz w:val="22"/>
        </w:rPr>
      </w:pPr>
      <w:r>
        <w:rPr/>
        <w:t>Continue improvement of decision-making tools for valuing of long and short-term capacity and the profitability of individual deals.</w:t>
      </w:r>
    </w:p>
    <w:p>
      <w:pPr>
        <w:pStyle w:val="ListBullet21"/>
        <w:numPr>
          <w:ilvl w:val="0"/>
          <w:numId w:val="2"/>
        </w:numPr>
        <w:tabs>
          <w:tab w:val="clear" w:pos="540"/>
        </w:tabs>
        <w:ind w:hanging="360" w:start="900" w:end="0"/>
        <w:rPr>
          <w:sz w:val="22"/>
        </w:rPr>
      </w:pPr>
      <w:r>
        <w:rPr>
          <w:b w:val="false"/>
          <w:sz w:val="22"/>
        </w:rPr>
        <w:t>Develop the Risk Book to identify capacity available and its estimated value.</w:t>
      </w:r>
    </w:p>
    <w:p>
      <w:pPr>
        <w:pStyle w:val="ListBullet21"/>
        <w:numPr>
          <w:ilvl w:val="0"/>
          <w:numId w:val="2"/>
        </w:numPr>
        <w:tabs>
          <w:tab w:val="clear" w:pos="540"/>
        </w:tabs>
        <w:ind w:hanging="360" w:start="900" w:end="0"/>
        <w:rPr>
          <w:sz w:val="22"/>
        </w:rPr>
      </w:pPr>
      <w:r>
        <w:rPr>
          <w:b w:val="false"/>
          <w:sz w:val="22"/>
        </w:rPr>
        <w:t>Implement Revenue Management tools</w:t>
      </w:r>
    </w:p>
    <w:p>
      <w:pPr>
        <w:pStyle w:val="ListBullet21"/>
        <w:numPr>
          <w:ilvl w:val="0"/>
          <w:numId w:val="2"/>
        </w:numPr>
        <w:tabs>
          <w:tab w:val="clear" w:pos="540"/>
        </w:tabs>
        <w:ind w:hanging="360" w:start="900" w:end="0"/>
        <w:rPr>
          <w:sz w:val="22"/>
        </w:rPr>
      </w:pPr>
      <w:r>
        <w:rPr>
          <w:b w:val="false"/>
          <w:sz w:val="22"/>
        </w:rPr>
        <w:t>Investigate and implement segmentation of markets to achieve maximum effectiveness of market development efforts.</w:t>
      </w:r>
    </w:p>
    <w:p>
      <w:pPr>
        <w:pStyle w:val="ListBullet21"/>
        <w:numPr>
          <w:ilvl w:val="0"/>
          <w:numId w:val="2"/>
        </w:numPr>
        <w:tabs>
          <w:tab w:val="clear" w:pos="540"/>
        </w:tabs>
        <w:ind w:hanging="360" w:start="900" w:end="0"/>
        <w:rPr>
          <w:sz w:val="22"/>
        </w:rPr>
      </w:pPr>
      <w:r>
        <w:rPr>
          <w:b w:val="false"/>
          <w:sz w:val="22"/>
        </w:rPr>
        <w:t>Implement results of internal and external (McKinsey) process reviews to maximize profitability.</w:t>
      </w:r>
    </w:p>
    <w:p>
      <w:pPr>
        <w:pStyle w:val="ListBullet21"/>
        <w:numPr>
          <w:ilvl w:val="0"/>
          <w:numId w:val="2"/>
        </w:numPr>
        <w:tabs>
          <w:tab w:val="clear" w:pos="540"/>
        </w:tabs>
        <w:ind w:hanging="360" w:start="900" w:end="0"/>
        <w:rPr>
          <w:sz w:val="22"/>
        </w:rPr>
      </w:pPr>
      <w:r>
        <w:rPr>
          <w:b w:val="false"/>
          <w:sz w:val="22"/>
        </w:rPr>
        <w:t>Develop analytical tools to assist in maximizing margins (ROV, Regression, etc.)</w:t>
      </w:r>
    </w:p>
    <w:p>
      <w:pPr>
        <w:pStyle w:val="ListBullet21"/>
        <w:numPr>
          <w:ilvl w:val="0"/>
          <w:numId w:val="2"/>
        </w:numPr>
        <w:tabs>
          <w:tab w:val="clear" w:pos="540"/>
        </w:tabs>
        <w:ind w:hanging="360" w:start="900" w:end="0"/>
        <w:rPr>
          <w:sz w:val="22"/>
        </w:rPr>
      </w:pPr>
      <w:r>
        <w:rPr>
          <w:b w:val="false"/>
          <w:sz w:val="22"/>
        </w:rPr>
        <w:t>Capture seasonal value of services.</w:t>
      </w:r>
    </w:p>
    <w:p>
      <w:pPr>
        <w:pStyle w:val="ListBullet21"/>
        <w:numPr>
          <w:ilvl w:val="0"/>
          <w:numId w:val="2"/>
        </w:numPr>
        <w:tabs>
          <w:tab w:val="clear" w:pos="540"/>
        </w:tabs>
        <w:ind w:hanging="360" w:start="900" w:end="0"/>
        <w:rPr>
          <w:sz w:val="22"/>
        </w:rPr>
      </w:pPr>
      <w:r>
        <w:rPr>
          <w:b w:val="false"/>
          <w:sz w:val="22"/>
        </w:rPr>
        <w:t>Continue to improve service mix – hourly services, additional balancing services, etc.</w:t>
      </w:r>
    </w:p>
    <w:p>
      <w:pPr>
        <w:pStyle w:val="ListBullet21"/>
        <w:numPr>
          <w:ilvl w:val="0"/>
          <w:numId w:val="2"/>
        </w:numPr>
        <w:tabs>
          <w:tab w:val="clear" w:pos="540"/>
        </w:tabs>
        <w:ind w:hanging="360" w:start="900" w:end="0"/>
        <w:rPr>
          <w:sz w:val="22"/>
        </w:rPr>
      </w:pPr>
      <w:r>
        <w:rPr>
          <w:b w:val="false"/>
          <w:sz w:val="22"/>
        </w:rPr>
        <w:t>Stay abreast of changes in the consumer environment and be prepared to respond to changes in business practices resulting from LDC unbundling and NOPR/NOI activities.</w:t>
      </w:r>
    </w:p>
    <w:p>
      <w:pPr>
        <w:pStyle w:val="ListBullet21"/>
        <w:numPr>
          <w:ilvl w:val="0"/>
          <w:numId w:val="2"/>
        </w:numPr>
        <w:tabs>
          <w:tab w:val="clear" w:pos="540"/>
        </w:tabs>
        <w:ind w:hanging="360" w:start="900" w:end="0"/>
        <w:rPr>
          <w:sz w:val="22"/>
        </w:rPr>
      </w:pPr>
      <w:r>
        <w:rPr>
          <w:b w:val="false"/>
          <w:sz w:val="22"/>
        </w:rPr>
        <w:t>Involve Legal and Regulatory in the early stages of projects to structure deals to clear regulatory hurdles on a timely basis.</w:t>
      </w:r>
    </w:p>
    <w:p>
      <w:pPr>
        <w:pStyle w:val="ListBullet21"/>
        <w:ind w:hanging="0" w:start="0" w:end="0"/>
        <w:rPr>
          <w:sz w:val="22"/>
        </w:rPr>
      </w:pPr>
      <w:r>
        <w:rPr>
          <w:sz w:val="22"/>
        </w:rPr>
      </w:r>
    </w:p>
    <w:p>
      <w:pPr>
        <w:pStyle w:val="ListBullet21"/>
        <w:numPr>
          <w:ilvl w:val="0"/>
          <w:numId w:val="4"/>
        </w:numPr>
        <w:ind w:hanging="540" w:start="540" w:end="0"/>
        <w:rPr/>
      </w:pPr>
      <w:r>
        <w:rPr/>
        <w:t>Significantly improve ability to optimize system operations to create capacity, to conserve fuel, and to reduce unaccounted-for gas.  Hold the line on O&amp;M.</w:t>
      </w:r>
    </w:p>
    <w:p>
      <w:pPr>
        <w:pStyle w:val="ListBullet21"/>
        <w:numPr>
          <w:ilvl w:val="0"/>
          <w:numId w:val="2"/>
        </w:numPr>
        <w:tabs>
          <w:tab w:val="clear" w:pos="540"/>
        </w:tabs>
        <w:ind w:hanging="360" w:start="900" w:end="0"/>
        <w:rPr>
          <w:sz w:val="22"/>
        </w:rPr>
      </w:pPr>
      <w:r>
        <w:rPr>
          <w:b w:val="false"/>
          <w:sz w:val="22"/>
        </w:rPr>
        <w:t>Aggressively pursue projects that result in O&amp;M savings or increased saleable capacity.</w:t>
      </w:r>
    </w:p>
    <w:p>
      <w:pPr>
        <w:pStyle w:val="ListBullet21"/>
        <w:numPr>
          <w:ilvl w:val="0"/>
          <w:numId w:val="2"/>
        </w:numPr>
        <w:tabs>
          <w:tab w:val="clear" w:pos="540"/>
        </w:tabs>
        <w:ind w:hanging="360" w:start="900" w:end="0"/>
        <w:rPr>
          <w:sz w:val="22"/>
        </w:rPr>
      </w:pPr>
      <w:r>
        <w:rPr>
          <w:b w:val="false"/>
          <w:sz w:val="22"/>
        </w:rPr>
        <w:t>Continue to use DD&amp;A for continued pipeline system enhancements, reliability, optimization projects, pipeline safety, and environmental or other “compliance” type projects.</w:t>
      </w:r>
    </w:p>
    <w:p>
      <w:pPr>
        <w:pStyle w:val="ListBullet21"/>
        <w:numPr>
          <w:ilvl w:val="0"/>
          <w:numId w:val="2"/>
        </w:numPr>
        <w:tabs>
          <w:tab w:val="clear" w:pos="540"/>
        </w:tabs>
        <w:ind w:hanging="360" w:start="900" w:end="0"/>
        <w:rPr>
          <w:sz w:val="22"/>
        </w:rPr>
      </w:pPr>
      <w:r>
        <w:rPr>
          <w:b w:val="false"/>
          <w:sz w:val="22"/>
        </w:rPr>
        <w:t>Continue emphasis on reduction of fuel/UAF.</w:t>
      </w:r>
    </w:p>
    <w:p>
      <w:pPr>
        <w:pStyle w:val="ListBullet21"/>
        <w:ind w:hanging="0" w:start="0" w:end="0"/>
        <w:rPr>
          <w:sz w:val="22"/>
        </w:rPr>
      </w:pPr>
      <w:r>
        <w:rPr>
          <w:sz w:val="22"/>
        </w:rPr>
      </w:r>
      <w:r>
        <w:br w:type="page"/>
      </w:r>
    </w:p>
    <w:p>
      <w:pPr>
        <w:pStyle w:val="ListBullet21"/>
        <w:tabs>
          <w:tab w:val="clear" w:pos="540"/>
        </w:tabs>
        <w:ind w:hanging="0" w:start="0" w:end="0"/>
        <w:rPr/>
      </w:pPr>
      <w:r>
        <w:rPr/>
      </w:r>
    </w:p>
    <w:p>
      <w:pPr>
        <w:pStyle w:val="ListBullet21"/>
        <w:tabs>
          <w:tab w:val="clear" w:pos="540"/>
        </w:tabs>
        <w:ind w:hanging="0" w:start="0" w:end="0"/>
        <w:rPr/>
      </w:pPr>
      <w:r>
        <w:rPr/>
      </w:r>
    </w:p>
    <w:p>
      <w:pPr>
        <w:pStyle w:val="ListBullet21"/>
        <w:numPr>
          <w:ilvl w:val="0"/>
          <w:numId w:val="4"/>
        </w:numPr>
        <w:ind w:hanging="540" w:start="540" w:end="0"/>
        <w:rPr/>
      </w:pPr>
      <w:r>
        <w:rPr/>
        <w:t>Pursue identification, evaluation and possible implementation of viable acquisition, alliance, or joint venture opportunities.</w:t>
      </w:r>
    </w:p>
    <w:p>
      <w:pPr>
        <w:pStyle w:val="ListBullet21"/>
        <w:numPr>
          <w:ilvl w:val="0"/>
          <w:numId w:val="2"/>
        </w:numPr>
        <w:tabs>
          <w:tab w:val="clear" w:pos="540"/>
        </w:tabs>
        <w:ind w:hanging="360" w:start="900" w:end="0"/>
        <w:rPr>
          <w:b w:val="false"/>
          <w:sz w:val="22"/>
        </w:rPr>
      </w:pPr>
      <w:r>
        <w:rPr>
          <w:b w:val="false"/>
          <w:sz w:val="22"/>
        </w:rPr>
        <w:t>Coordinate acquisition/divestiture strategy with GPG.</w:t>
      </w:r>
    </w:p>
    <w:p>
      <w:pPr>
        <w:pStyle w:val="ListBullet21"/>
        <w:numPr>
          <w:ilvl w:val="0"/>
          <w:numId w:val="2"/>
        </w:numPr>
        <w:tabs>
          <w:tab w:val="clear" w:pos="540"/>
        </w:tabs>
        <w:ind w:hanging="360" w:start="900" w:end="0"/>
        <w:rPr>
          <w:sz w:val="22"/>
        </w:rPr>
      </w:pPr>
      <w:r>
        <w:rPr>
          <w:b w:val="false"/>
          <w:sz w:val="22"/>
        </w:rPr>
        <w:t>Continually accumulate and record potential candidates.</w:t>
      </w:r>
    </w:p>
    <w:p>
      <w:pPr>
        <w:pStyle w:val="ListBullet21"/>
        <w:numPr>
          <w:ilvl w:val="0"/>
          <w:numId w:val="2"/>
        </w:numPr>
        <w:tabs>
          <w:tab w:val="clear" w:pos="540"/>
        </w:tabs>
        <w:ind w:hanging="360" w:start="900" w:end="0"/>
        <w:rPr>
          <w:sz w:val="22"/>
        </w:rPr>
      </w:pPr>
      <w:r>
        <w:rPr>
          <w:b w:val="false"/>
          <w:sz w:val="22"/>
        </w:rPr>
        <w:t>Evaluate potential opportunities.</w:t>
      </w:r>
    </w:p>
    <w:p>
      <w:pPr>
        <w:pStyle w:val="ListBullet21"/>
        <w:numPr>
          <w:ilvl w:val="0"/>
          <w:numId w:val="7"/>
        </w:numPr>
        <w:tabs>
          <w:tab w:val="clear" w:pos="540"/>
          <w:tab w:val="left" w:pos="1260" w:leader="none"/>
        </w:tabs>
        <w:ind w:hanging="360" w:start="1260" w:end="0"/>
        <w:rPr>
          <w:sz w:val="22"/>
        </w:rPr>
      </w:pPr>
      <w:r>
        <w:rPr>
          <w:b w:val="false"/>
          <w:sz w:val="22"/>
        </w:rPr>
        <w:t>Inherent profitability</w:t>
      </w:r>
    </w:p>
    <w:p>
      <w:pPr>
        <w:pStyle w:val="ListBullet21"/>
        <w:numPr>
          <w:ilvl w:val="0"/>
          <w:numId w:val="7"/>
        </w:numPr>
        <w:tabs>
          <w:tab w:val="clear" w:pos="540"/>
          <w:tab w:val="left" w:pos="1260" w:leader="none"/>
        </w:tabs>
        <w:ind w:hanging="360" w:start="1260" w:end="0"/>
        <w:rPr>
          <w:sz w:val="22"/>
        </w:rPr>
      </w:pPr>
      <w:r>
        <w:rPr>
          <w:b w:val="false"/>
          <w:sz w:val="22"/>
        </w:rPr>
        <w:t>Relationships to existing business and to Business and Financial Plans</w:t>
      </w:r>
    </w:p>
    <w:p>
      <w:pPr>
        <w:pStyle w:val="ListBullet21"/>
        <w:numPr>
          <w:ilvl w:val="0"/>
          <w:numId w:val="2"/>
        </w:numPr>
        <w:tabs>
          <w:tab w:val="clear" w:pos="540"/>
        </w:tabs>
        <w:ind w:hanging="360" w:start="900" w:end="0"/>
        <w:rPr>
          <w:sz w:val="22"/>
        </w:rPr>
      </w:pPr>
      <w:r>
        <w:rPr>
          <w:b w:val="false"/>
          <w:sz w:val="22"/>
        </w:rPr>
        <w:t>Follow up with management directives on selected opportunities.</w:t>
      </w:r>
    </w:p>
    <w:p>
      <w:pPr>
        <w:pStyle w:val="ListBullet21"/>
        <w:ind w:hanging="0" w:start="0" w:end="0"/>
        <w:rPr>
          <w:sz w:val="22"/>
        </w:rPr>
      </w:pPr>
      <w:r>
        <w:rPr>
          <w:sz w:val="22"/>
        </w:rPr>
      </w:r>
    </w:p>
    <w:p>
      <w:pPr>
        <w:pStyle w:val="ListBullet21"/>
        <w:numPr>
          <w:ilvl w:val="0"/>
          <w:numId w:val="4"/>
        </w:numPr>
        <w:tabs>
          <w:tab w:val="left" w:pos="540" w:leader="none"/>
          <w:tab w:val="left" w:pos="734" w:leader="none"/>
        </w:tabs>
        <w:ind w:hanging="720" w:start="734" w:end="0"/>
        <w:rPr/>
      </w:pPr>
      <w:r>
        <w:rPr/>
        <w:t>Improve customer service to solidify customer loyalty and develop a Company culture targeted at excellence in Customer Satisfaction.</w:t>
        <w:tab/>
      </w:r>
    </w:p>
    <w:p>
      <w:pPr>
        <w:pStyle w:val="ListBullet21"/>
        <w:numPr>
          <w:ilvl w:val="0"/>
          <w:numId w:val="2"/>
        </w:numPr>
        <w:tabs>
          <w:tab w:val="clear" w:pos="540"/>
        </w:tabs>
        <w:ind w:hanging="360" w:start="900" w:end="0"/>
        <w:rPr>
          <w:sz w:val="22"/>
        </w:rPr>
      </w:pPr>
      <w:r>
        <w:rPr>
          <w:b w:val="false"/>
          <w:sz w:val="22"/>
        </w:rPr>
        <w:t>Pursue customer service enhancements.</w:t>
      </w:r>
    </w:p>
    <w:p>
      <w:pPr>
        <w:pStyle w:val="ListBullet21"/>
        <w:numPr>
          <w:ilvl w:val="0"/>
          <w:numId w:val="5"/>
        </w:numPr>
        <w:tabs>
          <w:tab w:val="clear" w:pos="540"/>
          <w:tab w:val="left" w:pos="1080" w:leader="none"/>
        </w:tabs>
        <w:ind w:hanging="360" w:start="1080" w:end="0"/>
        <w:rPr>
          <w:sz w:val="22"/>
        </w:rPr>
      </w:pPr>
      <w:r>
        <w:rPr>
          <w:b w:val="false"/>
          <w:sz w:val="22"/>
        </w:rPr>
        <w:t>Continue process to obtain customer satisfaction data, including responses to specific issues, benchmarking of improvements, and development of follow-up surveys.</w:t>
      </w:r>
    </w:p>
    <w:p>
      <w:pPr>
        <w:pStyle w:val="ListBullet21"/>
        <w:numPr>
          <w:ilvl w:val="0"/>
          <w:numId w:val="5"/>
        </w:numPr>
        <w:tabs>
          <w:tab w:val="clear" w:pos="540"/>
          <w:tab w:val="left" w:pos="1080" w:leader="none"/>
        </w:tabs>
        <w:ind w:hanging="360" w:start="1080" w:end="0"/>
        <w:rPr>
          <w:sz w:val="22"/>
        </w:rPr>
      </w:pPr>
      <w:r>
        <w:rPr>
          <w:b w:val="false"/>
          <w:sz w:val="22"/>
        </w:rPr>
        <w:t>Improve back-room systems – potential for Internet contracting, etc.</w:t>
      </w:r>
    </w:p>
    <w:p>
      <w:pPr>
        <w:pStyle w:val="ListBullet21"/>
        <w:numPr>
          <w:ilvl w:val="0"/>
          <w:numId w:val="5"/>
        </w:numPr>
        <w:tabs>
          <w:tab w:val="clear" w:pos="540"/>
          <w:tab w:val="left" w:pos="1080" w:leader="none"/>
        </w:tabs>
        <w:ind w:hanging="360" w:start="1080" w:end="0"/>
        <w:rPr>
          <w:sz w:val="22"/>
        </w:rPr>
      </w:pPr>
      <w:r>
        <w:rPr>
          <w:b w:val="false"/>
          <w:sz w:val="22"/>
        </w:rPr>
        <w:t>Improve customer access to real time measurement, pressure, and quality information.</w:t>
      </w:r>
    </w:p>
    <w:p>
      <w:pPr>
        <w:pStyle w:val="ListBullet21"/>
        <w:numPr>
          <w:ilvl w:val="0"/>
          <w:numId w:val="2"/>
        </w:numPr>
        <w:tabs>
          <w:tab w:val="clear" w:pos="540"/>
        </w:tabs>
        <w:ind w:hanging="360" w:start="900" w:end="0"/>
        <w:rPr>
          <w:sz w:val="22"/>
        </w:rPr>
      </w:pPr>
      <w:r>
        <w:rPr>
          <w:b w:val="false"/>
          <w:sz w:val="22"/>
        </w:rPr>
        <w:t>Enhance customer service training opportunities and evaluation of customer service performance for all levels of employees.</w:t>
      </w:r>
    </w:p>
    <w:p>
      <w:pPr>
        <w:pStyle w:val="ListBullet21"/>
        <w:numPr>
          <w:ilvl w:val="0"/>
          <w:numId w:val="2"/>
        </w:numPr>
        <w:tabs>
          <w:tab w:val="clear" w:pos="540"/>
        </w:tabs>
        <w:ind w:hanging="360" w:start="900" w:end="0"/>
        <w:rPr>
          <w:sz w:val="22"/>
        </w:rPr>
      </w:pPr>
      <w:r>
        <w:rPr>
          <w:b w:val="false"/>
          <w:sz w:val="22"/>
        </w:rPr>
        <w:t>Evaluate the need and timing of re-activating the customer service tactical team.</w:t>
      </w:r>
    </w:p>
    <w:p>
      <w:pPr>
        <w:pStyle w:val="ListBullet21"/>
        <w:numPr>
          <w:ilvl w:val="0"/>
          <w:numId w:val="2"/>
        </w:numPr>
        <w:tabs>
          <w:tab w:val="clear" w:pos="540"/>
        </w:tabs>
        <w:ind w:hanging="360" w:start="900" w:end="0"/>
        <w:rPr>
          <w:sz w:val="22"/>
        </w:rPr>
      </w:pPr>
      <w:r>
        <w:rPr>
          <w:b w:val="false"/>
          <w:sz w:val="22"/>
        </w:rPr>
        <w:t>Define good customer service for the large customer class, and negotiate with the customer to define a baseline level of customer service and agree to specific measurement of company performance, over time, against this baseline.</w:t>
      </w:r>
    </w:p>
    <w:p>
      <w:pPr>
        <w:pStyle w:val="ListBullet21"/>
        <w:tabs>
          <w:tab w:val="clear" w:pos="540"/>
        </w:tabs>
        <w:rPr>
          <w:sz w:val="22"/>
        </w:rPr>
      </w:pPr>
      <w:r>
        <w:rPr>
          <w:sz w:val="22"/>
        </w:rPr>
      </w:r>
    </w:p>
    <w:p>
      <w:pPr>
        <w:pStyle w:val="ListBullet21"/>
        <w:numPr>
          <w:ilvl w:val="0"/>
          <w:numId w:val="4"/>
        </w:numPr>
        <w:tabs>
          <w:tab w:val="left" w:pos="540" w:leader="none"/>
          <w:tab w:val="left" w:pos="734" w:leader="none"/>
        </w:tabs>
        <w:ind w:hanging="720" w:start="734" w:end="0"/>
        <w:rPr/>
      </w:pPr>
      <w:r>
        <w:rPr/>
        <w:t>Improve organizational effectiveness.</w:t>
        <w:tab/>
      </w:r>
    </w:p>
    <w:p>
      <w:pPr>
        <w:pStyle w:val="ListBullet21"/>
        <w:numPr>
          <w:ilvl w:val="0"/>
          <w:numId w:val="2"/>
        </w:numPr>
        <w:tabs>
          <w:tab w:val="clear" w:pos="540"/>
        </w:tabs>
        <w:ind w:hanging="360" w:start="900" w:end="0"/>
        <w:rPr>
          <w:sz w:val="22"/>
        </w:rPr>
      </w:pPr>
      <w:r>
        <w:rPr>
          <w:b w:val="false"/>
          <w:sz w:val="22"/>
        </w:rPr>
        <w:t>Develop enhanced methods of recognizing and rewarding innovation.</w:t>
      </w:r>
    </w:p>
    <w:p>
      <w:pPr>
        <w:pStyle w:val="ListBullet21"/>
        <w:numPr>
          <w:ilvl w:val="0"/>
          <w:numId w:val="2"/>
        </w:numPr>
        <w:tabs>
          <w:tab w:val="clear" w:pos="540"/>
        </w:tabs>
        <w:ind w:hanging="360" w:start="900" w:end="0"/>
        <w:rPr>
          <w:sz w:val="22"/>
        </w:rPr>
      </w:pPr>
      <w:r>
        <w:rPr>
          <w:b w:val="false"/>
          <w:sz w:val="22"/>
        </w:rPr>
        <w:t>Enhance internal communication of up-to-date commercial profitability data.</w:t>
      </w:r>
    </w:p>
    <w:p>
      <w:pPr>
        <w:pStyle w:val="ListBullet21"/>
        <w:numPr>
          <w:ilvl w:val="0"/>
          <w:numId w:val="6"/>
        </w:numPr>
        <w:tabs>
          <w:tab w:val="clear" w:pos="540"/>
        </w:tabs>
        <w:ind w:hanging="360" w:start="900" w:end="0"/>
        <w:rPr>
          <w:b w:val="false"/>
          <w:sz w:val="22"/>
        </w:rPr>
      </w:pPr>
      <w:r>
        <w:rPr>
          <w:b w:val="false"/>
          <w:sz w:val="22"/>
        </w:rPr>
        <w:t xml:space="preserve">Identify intellectual needs and develop or acquired required assets. </w:t>
      </w:r>
    </w:p>
    <w:p>
      <w:pPr>
        <w:pStyle w:val="ListBullet21"/>
        <w:numPr>
          <w:ilvl w:val="0"/>
          <w:numId w:val="2"/>
        </w:numPr>
        <w:tabs>
          <w:tab w:val="clear" w:pos="540"/>
        </w:tabs>
        <w:ind w:hanging="360" w:start="900" w:end="0"/>
        <w:rPr>
          <w:sz w:val="22"/>
        </w:rPr>
      </w:pPr>
      <w:r>
        <w:rPr>
          <w:b w:val="false"/>
          <w:sz w:val="22"/>
        </w:rPr>
        <w:t>Implement results of internal and external (Mercer) process reviews to maximize organization potentials.</w:t>
      </w:r>
    </w:p>
    <w:p>
      <w:pPr>
        <w:pStyle w:val="ListBullet21"/>
        <w:numPr>
          <w:ilvl w:val="0"/>
          <w:numId w:val="2"/>
        </w:numPr>
        <w:tabs>
          <w:tab w:val="clear" w:pos="540"/>
        </w:tabs>
        <w:ind w:hanging="360" w:start="900" w:end="0"/>
        <w:rPr>
          <w:sz w:val="22"/>
        </w:rPr>
      </w:pPr>
      <w:r>
        <w:rPr>
          <w:b w:val="false"/>
          <w:sz w:val="22"/>
        </w:rPr>
        <w:t>Identify employee training opportunities to enhance employee understanding of the power/electricity industry.</w:t>
      </w:r>
    </w:p>
    <w:p>
      <w:pPr>
        <w:pStyle w:val="ListBullet21"/>
        <w:tabs>
          <w:tab w:val="clear" w:pos="540"/>
        </w:tabs>
        <w:rPr>
          <w:b w:val="false"/>
          <w:sz w:val="22"/>
        </w:rPr>
      </w:pPr>
      <w:r>
        <w:rPr>
          <w:b w:val="false"/>
          <w:sz w:val="22"/>
        </w:rPr>
      </w:r>
    </w:p>
    <w:p>
      <w:pPr>
        <w:pStyle w:val="ListBullet21"/>
        <w:numPr>
          <w:ilvl w:val="0"/>
          <w:numId w:val="4"/>
        </w:numPr>
        <w:tabs>
          <w:tab w:val="left" w:pos="540" w:leader="none"/>
          <w:tab w:val="left" w:pos="734" w:leader="none"/>
        </w:tabs>
        <w:ind w:hanging="720" w:start="734" w:end="0"/>
        <w:rPr/>
      </w:pPr>
      <w:r>
        <w:rPr/>
        <w:t>Exploit advances in technology.</w:t>
        <w:tab/>
      </w:r>
    </w:p>
    <w:p>
      <w:pPr>
        <w:pStyle w:val="ListBullet21"/>
        <w:numPr>
          <w:ilvl w:val="0"/>
          <w:numId w:val="2"/>
        </w:numPr>
        <w:tabs>
          <w:tab w:val="clear" w:pos="540"/>
        </w:tabs>
        <w:ind w:hanging="360" w:start="900" w:end="0"/>
        <w:rPr>
          <w:sz w:val="22"/>
        </w:rPr>
      </w:pPr>
      <w:r>
        <w:rPr>
          <w:b w:val="false"/>
          <w:sz w:val="22"/>
        </w:rPr>
        <w:t>Develop contacts and maintain current update of technological advances made by Enron Corp.</w:t>
      </w:r>
    </w:p>
    <w:p>
      <w:pPr>
        <w:pStyle w:val="ListBullet21"/>
        <w:numPr>
          <w:ilvl w:val="0"/>
          <w:numId w:val="6"/>
        </w:numPr>
        <w:tabs>
          <w:tab w:val="clear" w:pos="540"/>
        </w:tabs>
        <w:ind w:hanging="360" w:start="900" w:end="0"/>
        <w:rPr>
          <w:b w:val="false"/>
          <w:sz w:val="22"/>
        </w:rPr>
      </w:pPr>
      <w:r>
        <w:rPr>
          <w:b w:val="false"/>
          <w:sz w:val="22"/>
        </w:rPr>
        <w:t xml:space="preserve">Identify and develop technological assets applicable to pipeline operations. </w:t>
      </w:r>
    </w:p>
    <w:p>
      <w:pPr>
        <w:pStyle w:val="ListBullet21"/>
        <w:numPr>
          <w:ilvl w:val="0"/>
          <w:numId w:val="6"/>
        </w:numPr>
        <w:tabs>
          <w:tab w:val="clear" w:pos="540"/>
        </w:tabs>
        <w:ind w:hanging="360" w:start="900" w:end="0"/>
        <w:rPr>
          <w:b w:val="false"/>
          <w:sz w:val="22"/>
        </w:rPr>
      </w:pPr>
      <w:r>
        <w:rPr>
          <w:b w:val="false"/>
          <w:sz w:val="22"/>
        </w:rPr>
        <w:t xml:space="preserve">Identify potential for sale of technological assets or services. </w:t>
      </w:r>
    </w:p>
    <w:p>
      <w:pPr>
        <w:pStyle w:val="ListBullet21"/>
        <w:numPr>
          <w:ilvl w:val="0"/>
          <w:numId w:val="6"/>
        </w:numPr>
        <w:tabs>
          <w:tab w:val="clear" w:pos="540"/>
        </w:tabs>
        <w:ind w:hanging="360" w:start="900" w:end="0"/>
        <w:rPr>
          <w:b w:val="false"/>
          <w:sz w:val="22"/>
        </w:rPr>
      </w:pPr>
      <w:r>
        <w:rPr>
          <w:b w:val="false"/>
          <w:sz w:val="22"/>
        </w:rPr>
        <w:t>Segment the customer group and develop customer service plans for each particular group.</w:t>
      </w:r>
    </w:p>
    <w:p>
      <w:pPr>
        <w:pStyle w:val="ListBullet21"/>
        <w:tabs>
          <w:tab w:val="clear" w:pos="540"/>
        </w:tabs>
        <w:rPr>
          <w:b w:val="false"/>
          <w:sz w:val="22"/>
        </w:rPr>
      </w:pPr>
      <w:r>
        <w:rPr>
          <w:b w:val="false"/>
          <w:sz w:val="22"/>
        </w:rPr>
      </w:r>
    </w:p>
    <w:sectPr>
      <w:headerReference w:type="default" r:id="rId2"/>
      <w:footerReference w:type="default" r:id="rId3"/>
      <w:type w:val="nextPage"/>
      <w:pgSz w:w="12240" w:h="15840"/>
      <w:pgMar w:left="1296" w:right="1008" w:gutter="0" w:header="720" w:top="1152"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rFonts w:ascii="Arial" w:hAnsi="Arial" w:cs="Arial"/>
        <w:sz w:val="18"/>
      </w:rPr>
    </w:pPr>
    <w:r>
      <w:rPr>
        <w:rFonts w:cs="Arial" w:ascii="Arial" w:hAnsi="Arial"/>
        <w:sz w:val="18"/>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080760" cy="262890"/>
              <wp:effectExtent l="0" t="0" r="0" b="0"/>
              <wp:wrapSquare wrapText="bothSides"/>
              <wp:docPr id="1" name="Frame1"/>
              <a:graphic xmlns:a="http://schemas.openxmlformats.org/drawingml/2006/main">
                <a:graphicData uri="http://schemas.microsoft.com/office/word/2010/wordprocessingShape">
                  <wps:wsp>
                    <wps:cNvSpPr txBox="1"/>
                    <wps:spPr>
                      <a:xfrm>
                        <a:off x="0" y="0"/>
                        <a:ext cx="6080760" cy="262890"/>
                      </a:xfrm>
                      <a:prstGeom prst="rect"/>
                      <a:solidFill>
                        <a:srgbClr val="FFFFFF">
                          <a:alpha val="0"/>
                        </a:srgbClr>
                      </a:solidFill>
                    </wps:spPr>
                    <wps:txbx>
                      <w:txbxContent>
                        <w:p>
                          <w:pPr>
                            <w:pStyle w:val="Footer"/>
                            <w:rPr>
                              <w:rStyle w:val="PageNumber"/>
                              <w:rFonts w:ascii="Arial" w:hAnsi="Arial" w:cs="Arial"/>
                              <w:sz w:val="18"/>
                            </w:rPr>
                          </w:pPr>
                          <w:r>
                            <w:rPr/>
                          </w:r>
                        </w:p>
                        <w:p>
                          <w:pPr>
                            <w:pStyle w:val="Footer"/>
                            <w:jc w:val="center"/>
                            <w:rPr>
                              <w:rStyle w:val="PageNumber"/>
                              <w:rFonts w:ascii="Arial" w:hAnsi="Arial" w:cs="Arial"/>
                              <w:sz w:val="18"/>
                            </w:rPr>
                          </w:pPr>
                          <w:r>
                            <w:rPr>
                              <w:rStyle w:val="PageNumber"/>
                              <w:rFonts w:cs="Arial" w:ascii="Arial" w:hAnsi="Arial"/>
                              <w:sz w:val="18"/>
                            </w:rPr>
                            <w:fldChar w:fldCharType="begin"/>
                          </w:r>
                          <w:r>
                            <w:rPr>
                              <w:rStyle w:val="PageNumber"/>
                              <w:sz w:val="18"/>
                              <w:rFonts w:cs="Arial" w:ascii="Arial" w:hAnsi="Arial"/>
                            </w:rPr>
                            <w:instrText xml:space="preserve"> PAGE </w:instrText>
                          </w:r>
                          <w:r>
                            <w:rPr>
                              <w:rStyle w:val="PageNumber"/>
                              <w:sz w:val="18"/>
                              <w:rFonts w:cs="Arial" w:ascii="Arial" w:hAnsi="Arial"/>
                            </w:rPr>
                            <w:fldChar w:fldCharType="separate"/>
                          </w:r>
                          <w:r>
                            <w:rPr>
                              <w:rStyle w:val="PageNumber"/>
                              <w:sz w:val="18"/>
                              <w:rFonts w:cs="Arial" w:ascii="Arial" w:hAnsi="Arial"/>
                            </w:rPr>
                            <w:t>3</w:t>
                          </w:r>
                          <w:r>
                            <w:rPr>
                              <w:rStyle w:val="PageNumber"/>
                              <w:sz w:val="18"/>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478.8pt;height:20.7pt;mso-wrap-distance-left:0pt;mso-wrap-distance-right:0pt;mso-wrap-distance-top:0pt;mso-wrap-distance-bottom:0pt;margin-top:0.05pt;mso-position-vertical-relative:text;margin-left:9pt;mso-position-horizontal:center;mso-position-horizontal-relative:margin">
              <v:fill opacity="0f"/>
              <v:textbox inset="0in,0in,0in,0in">
                <w:txbxContent>
                  <w:p>
                    <w:pPr>
                      <w:pStyle w:val="Footer"/>
                      <w:rPr>
                        <w:rStyle w:val="PageNumber"/>
                        <w:rFonts w:ascii="Arial" w:hAnsi="Arial" w:cs="Arial"/>
                        <w:sz w:val="18"/>
                      </w:rPr>
                    </w:pPr>
                    <w:r>
                      <w:rPr/>
                    </w:r>
                  </w:p>
                  <w:p>
                    <w:pPr>
                      <w:pStyle w:val="Footer"/>
                      <w:jc w:val="center"/>
                      <w:rPr>
                        <w:rStyle w:val="PageNumber"/>
                        <w:rFonts w:ascii="Arial" w:hAnsi="Arial" w:cs="Arial"/>
                        <w:sz w:val="18"/>
                      </w:rPr>
                    </w:pPr>
                    <w:r>
                      <w:rPr>
                        <w:rStyle w:val="PageNumber"/>
                        <w:rFonts w:cs="Arial" w:ascii="Arial" w:hAnsi="Arial"/>
                        <w:sz w:val="18"/>
                      </w:rPr>
                      <w:fldChar w:fldCharType="begin"/>
                    </w:r>
                    <w:r>
                      <w:rPr>
                        <w:rStyle w:val="PageNumber"/>
                        <w:sz w:val="18"/>
                        <w:rFonts w:cs="Arial" w:ascii="Arial" w:hAnsi="Arial"/>
                      </w:rPr>
                      <w:instrText xml:space="preserve"> PAGE </w:instrText>
                    </w:r>
                    <w:r>
                      <w:rPr>
                        <w:rStyle w:val="PageNumber"/>
                        <w:sz w:val="18"/>
                        <w:rFonts w:cs="Arial" w:ascii="Arial" w:hAnsi="Arial"/>
                      </w:rPr>
                      <w:fldChar w:fldCharType="separate"/>
                    </w:r>
                    <w:r>
                      <w:rPr>
                        <w:rStyle w:val="PageNumber"/>
                        <w:sz w:val="18"/>
                        <w:rFonts w:cs="Arial" w:ascii="Arial" w:hAnsi="Arial"/>
                      </w:rPr>
                      <w:t>3</w:t>
                    </w:r>
                    <w:r>
                      <w:rPr>
                        <w:rStyle w:val="PageNumber"/>
                        <w:sz w:val="18"/>
                        <w:rFonts w:cs="Arial" w:ascii="Arial" w:hAnsi="Arial"/>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spacing w:lineRule="auto" w:line="120" w:before="120" w:after="60"/>
      <w:rPr>
        <w:sz w:val="36"/>
      </w:rPr>
    </w:pPr>
    <w:r>
      <w:rPr>
        <w:sz w:val="36"/>
      </w:rPr>
      <w:t>ET&amp;S BUSINESS PLAN</w:t>
    </w:r>
  </w:p>
  <w:p>
    <w:pPr>
      <w:pStyle w:val="Heading"/>
      <w:spacing w:lineRule="auto" w:line="120" w:before="120" w:after="60"/>
      <w:rPr>
        <w:sz w:val="24"/>
      </w:rPr>
    </w:pPr>
    <w:r>
      <w:rPr>
        <w:sz w:val="24"/>
      </w:rPr>
      <w:t>January, 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720" w:hanging="360"/>
      </w:pPr>
      <w:rPr>
        <w:rFonts w:ascii="Symbol" w:hAnsi="Symbol" w:cs="Symbol" w:hint="default"/>
      </w:rPr>
    </w:lvl>
  </w:abstractNum>
  <w:abstractNum w:abstractNumId="3">
    <w:lvl w:ilvl="0">
      <w:start w:val="1"/>
      <w:numFmt w:val="bullet"/>
      <w:lvlText w:val=""/>
      <w:lvlJc w:val="start"/>
      <w:pPr>
        <w:tabs>
          <w:tab w:val="num" w:pos="0"/>
        </w:tabs>
        <w:ind w:start="720" w:hanging="360"/>
      </w:pPr>
      <w:rPr>
        <w:rFonts w:ascii="Symbol" w:hAnsi="Symbol" w:cs="Symbol" w:hint="default"/>
      </w:rPr>
    </w:lvl>
  </w:abstractNum>
  <w:abstractNum w:abstractNumId="4">
    <w:lvl w:ilvl="0">
      <w:start w:val="1"/>
      <w:numFmt w:val="upperRoman"/>
      <w:lvlText w:val="%1."/>
      <w:lvlJc w:val="start"/>
      <w:pPr>
        <w:tabs>
          <w:tab w:val="num" w:pos="720"/>
        </w:tabs>
        <w:ind w:start="720" w:hanging="720"/>
      </w:pPr>
      <w:rPr/>
    </w:lvl>
  </w:abstractNum>
  <w:abstractNum w:abstractNumId="5">
    <w:lvl w:ilvl="0">
      <w:start w:val="1"/>
      <w:numFmt w:val="bullet"/>
      <w:lvlText w:val=""/>
      <w:lvlJc w:val="start"/>
      <w:pPr>
        <w:tabs>
          <w:tab w:val="num" w:pos="0"/>
        </w:tabs>
        <w:ind w:start="720" w:hanging="360"/>
      </w:pPr>
      <w:rPr>
        <w:rFonts w:ascii="Symbol" w:hAnsi="Symbol" w:cs="Symbol" w:hint="default"/>
      </w:rPr>
    </w:lvl>
  </w:abstractNum>
  <w:abstractNum w:abstractNumId="6">
    <w:lvl w:ilvl="0">
      <w:start w:val="1"/>
      <w:numFmt w:val="bullet"/>
      <w:lvlText w:val=""/>
      <w:lvlJc w:val="start"/>
      <w:pPr>
        <w:tabs>
          <w:tab w:val="num" w:pos="360"/>
        </w:tabs>
        <w:ind w:start="720" w:hanging="360"/>
      </w:pPr>
      <w:rPr>
        <w:rFonts w:ascii="Symbol" w:hAnsi="Symbol" w:cs="Symbol" w:hint="default"/>
      </w:rPr>
    </w:lvl>
  </w:abstractNum>
  <w:abstractNum w:abstractNumId="7">
    <w:lvl w:ilvl="0">
      <w:start w:val="1"/>
      <w:numFmt w:val="bullet"/>
      <w:lvlText w:val=""/>
      <w:lvlJc w:val="start"/>
      <w:pPr>
        <w:tabs>
          <w:tab w:val="num" w:pos="0"/>
        </w:tabs>
        <w:ind w:start="720" w:hanging="360"/>
      </w:pPr>
      <w:rPr>
        <w:rFonts w:ascii="Symbol" w:hAnsi="Symbol" w:cs="Symbol" w:hint="default"/>
      </w:rPr>
    </w:lvl>
  </w:abstractNum>
  <w:abstractNum w:abstractNumId="8">
    <w:lvl w:ilvl="0">
      <w:start w:val="1"/>
      <w:numFmt w:val="bullet"/>
      <w:lvlText w:val=""/>
      <w:lvlJc w:val="start"/>
      <w:pPr>
        <w:tabs>
          <w:tab w:val="num" w:pos="360"/>
        </w:tabs>
        <w:ind w:start="72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Times New Roman" w:hAnsi="Times New Roman" w:cs="Times New Roman" w:hint="default"/>
      </w:rPr>
    </w:lvl>
  </w:abstractNum>
  <w:abstractNum w:abstractNumId="10">
    <w:lvl w:ilvl="0">
      <w:start w:val="1"/>
      <w:numFmt w:val="bullet"/>
      <w:lvlText w:val=""/>
      <w:lvlJc w:val="start"/>
      <w:pPr>
        <w:tabs>
          <w:tab w:val="num" w:pos="0"/>
        </w:tabs>
        <w:ind w:start="720" w:hanging="360"/>
      </w:pPr>
      <w:rPr>
        <w:rFonts w:ascii="Symbol" w:hAnsi="Symbol" w:cs="Symbol" w:hint="default"/>
      </w:rPr>
    </w:lvl>
  </w:abstractNum>
  <w:abstractNum w:abstractNumId="11">
    <w:lvl w:ilvl="0">
      <w:start w:val="1"/>
      <w:numFmt w:val="bullet"/>
      <w:lvlText w:val=""/>
      <w:lvlJc w:val="start"/>
      <w:pPr>
        <w:tabs>
          <w:tab w:val="num" w:pos="0"/>
        </w:tabs>
        <w:ind w:start="720" w:hanging="360"/>
      </w:pPr>
      <w:rPr>
        <w:rFonts w:ascii="Symbol" w:hAnsi="Symbol" w:cs="Symbol" w:hint="default"/>
      </w:rPr>
    </w:lvl>
  </w:abstractNum>
  <w:abstractNum w:abstractNumId="12">
    <w:lvl w:ilvl="0">
      <w:start w:val="1"/>
      <w:numFmt w:val="bullet"/>
      <w:lvlText w:val=""/>
      <w:lvlJc w:val="start"/>
      <w:pPr>
        <w:tabs>
          <w:tab w:val="num" w:pos="36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09"/>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rFonts w:ascii="Symbol" w:hAnsi="Symbol" w:cs="Symbol"/>
    </w:rPr>
  </w:style>
  <w:style w:type="character" w:styleId="WW8Num12z0">
    <w:name w:val="WW8Num12z0"/>
    <w:qFormat/>
    <w:rPr/>
  </w:style>
  <w:style w:type="character" w:styleId="WW8Num13z0">
    <w:name w:val="WW8Num13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20z0">
    <w:name w:val="WW8Num20z0"/>
    <w:qFormat/>
    <w:rPr>
      <w:rFonts w:ascii="Symbol" w:hAnsi="Symbol" w:cs="Symbol"/>
    </w:rPr>
  </w:style>
  <w:style w:type="character" w:styleId="WW8Num21z0">
    <w:name w:val="WW8Num21z0"/>
    <w:qFormat/>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7z0">
    <w:name w:val="WW8Num27z0"/>
    <w:qFormat/>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7z0">
    <w:name w:val="WW8Num37z0"/>
    <w:qFormat/>
    <w:rPr>
      <w:rFonts w:ascii="Times New Roman" w:hAnsi="Times New Roman" w:cs="Times New Roman"/>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Times New Roman" w:hAnsi="Times New Roman" w:cs="Times New Roman"/>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style>
  <w:style w:type="character" w:styleId="WW8Num51z0">
    <w:name w:val="WW8Num51z0"/>
    <w:qFormat/>
    <w:rPr>
      <w:rFonts w:ascii="Symbol" w:hAnsi="Symbol" w:cs="Symbol"/>
    </w:rPr>
  </w:style>
  <w:style w:type="character" w:styleId="WW8Num52z0">
    <w:name w:val="WW8Num52z0"/>
    <w:qFormat/>
    <w:rPr/>
  </w:style>
  <w:style w:type="character" w:styleId="WW8NumSt3z0">
    <w:name w:val="WW8NumSt3z0"/>
    <w:qFormat/>
    <w:rPr>
      <w:rFonts w:ascii="Symbol" w:hAnsi="Symbol" w:cs="Symbol"/>
    </w:rPr>
  </w:style>
  <w:style w:type="character" w:styleId="WW8NumSt5z0">
    <w:name w:val="WW8NumSt5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240" w:after="60"/>
      <w:jc w:val="center"/>
    </w:pPr>
    <w:rPr>
      <w:rFonts w:ascii="Arial" w:hAnsi="Arial" w:cs="Arial"/>
      <w:b/>
      <w:kern w:val="2"/>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21">
    <w:name w:val="List Bullet 21"/>
    <w:basedOn w:val="Normal"/>
    <w:qFormat/>
    <w:pPr>
      <w:tabs>
        <w:tab w:val="clear" w:pos="709"/>
        <w:tab w:val="left" w:pos="540" w:leader="none"/>
      </w:tabs>
      <w:ind w:hanging="540" w:start="540" w:end="0"/>
    </w:pPr>
    <w:rPr>
      <w:rFonts w:ascii="Arial" w:hAnsi="Arial" w:cs="Arial"/>
      <w:b/>
    </w:rPr>
  </w:style>
  <w:style w:type="paragraph" w:styleId="BodyTextIndent">
    <w:name w:val="Body Text Indent"/>
    <w:basedOn w:val="Normal"/>
    <w:pPr>
      <w:spacing w:before="0" w:after="120"/>
      <w:ind w:hanging="0" w:start="360" w:end="0"/>
    </w:pPr>
    <w:rPr/>
  </w:style>
  <w:style w:type="paragraph" w:styleId="Subtitle">
    <w:name w:val="Subtitle"/>
    <w:basedOn w:val="Normal"/>
    <w:next w:val="BodyText"/>
    <w:qFormat/>
    <w:pPr>
      <w:spacing w:before="0" w:after="60"/>
      <w:jc w:val="center"/>
    </w:pPr>
    <w:rPr>
      <w:rFonts w:ascii="Arial" w:hAnsi="Arial" w:cs="Arial"/>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Header">
    <w:name w:val="header"/>
    <w:basedOn w:val="Normal"/>
    <w:pPr>
      <w:tabs>
        <w:tab w:val="clear" w:pos="709"/>
        <w:tab w:val="center" w:pos="4320" w:leader="none"/>
        <w:tab w:val="right" w:pos="8640" w:leader="none"/>
      </w:tabs>
    </w:pPr>
    <w:rPr/>
  </w:style>
  <w:style w:type="paragraph" w:styleId="Footer">
    <w:name w:val="footer"/>
    <w:basedOn w:val="Normal"/>
    <w:pPr>
      <w:tabs>
        <w:tab w:val="clear" w:pos="709"/>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2000-02-08T20:09:00Z</dcterms:created>
  <dc:creator>..</dc:creator>
  <dc:description/>
  <dc:language>en-CA</dc:language>
  <cp:lastModifiedBy>Enron</cp:lastModifiedBy>
  <cp:lastPrinted>2000-02-09T13:46:00Z</cp:lastPrinted>
  <dcterms:modified xsi:type="dcterms:W3CDTF">2000-02-09T20:57:00Z</dcterms:modified>
  <cp:revision>4</cp:revision>
  <dc:subject/>
  <dc:title>Strategic Direction Related To Capital Expenditures</dc:title>
</cp:coreProperties>
</file>