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ENRON TRANSPORTATION SERVICES COMPANY</w:t>
      </w:r>
    </w:p>
    <w:p>
      <w:pPr>
        <w:pStyle w:val="Normal"/>
        <w:jc w:val="center"/>
        <w:rPr>
          <w:sz w:val="28"/>
        </w:rPr>
      </w:pPr>
      <w:r>
        <w:rPr>
          <w:b/>
          <w:sz w:val="28"/>
        </w:rPr>
        <w:t>2000 Goals and Objectives</w:t>
      </w:r>
    </w:p>
    <w:p>
      <w:pPr>
        <w:pStyle w:val="Normal"/>
        <w:jc w:val="center"/>
        <w:rPr>
          <w:sz w:val="28"/>
        </w:rPr>
      </w:pPr>
      <w:r>
        <w:rPr>
          <w:b/>
          <w:sz w:val="28"/>
        </w:rPr>
        <w:t>Presented to the Enron Board of Directors</w:t>
      </w:r>
    </w:p>
    <w:p>
      <w:pPr>
        <w:pStyle w:val="Normal"/>
        <w:rPr>
          <w:sz w:val="22"/>
        </w:rPr>
      </w:pPr>
      <w:r>
        <w:rPr>
          <w:sz w:val="22"/>
        </w:rPr>
      </w:r>
    </w:p>
    <w:p>
      <w:pPr>
        <w:pStyle w:val="Normal"/>
        <w:rPr>
          <w:sz w:val="22"/>
        </w:rPr>
      </w:pPr>
      <w:r>
        <w:rPr>
          <w:sz w:val="22"/>
        </w:rPr>
      </w:r>
    </w:p>
    <w:p>
      <w:pPr>
        <w:pStyle w:val="BodyText"/>
        <w:numPr>
          <w:ilvl w:val="0"/>
          <w:numId w:val="2"/>
        </w:numPr>
        <w:jc w:val="both"/>
        <w:rPr>
          <w:rFonts w:ascii="Times New Roman" w:hAnsi="Times New Roman" w:cs="Times New Roman"/>
          <w:sz w:val="22"/>
        </w:rPr>
      </w:pPr>
      <w:r>
        <w:rPr>
          <w:rFonts w:cs="Times New Roman" w:ascii="Times New Roman" w:hAnsi="Times New Roman"/>
          <w:sz w:val="22"/>
        </w:rPr>
        <w:t>Continue Florida Gas expansion by completing Phase IV construction, obtaining favorable Preliminary Determination and Environmental Impact Statement on Phase V and receiving market support for Phase VI.  Obtain final FERC certificate for Northern Border's Project 2000 and place in service Transwestern's Gallup Expansion by the 2nd quarter.</w:t>
      </w:r>
    </w:p>
    <w:p>
      <w:pPr>
        <w:pStyle w:val="BodyText"/>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sz w:val="22"/>
        </w:rPr>
      </w:r>
    </w:p>
    <w:p>
      <w:pPr>
        <w:pStyle w:val="Heading1"/>
        <w:spacing w:lineRule="auto" w:line="480"/>
        <w:ind w:hanging="0" w:start="0"/>
        <w:jc w:val="both"/>
        <w:rPr>
          <w:rFonts w:ascii="Times New Roman" w:hAnsi="Times New Roman" w:cs="Times New Roman"/>
          <w:sz w:val="22"/>
        </w:rPr>
      </w:pPr>
      <w:r>
        <w:rPr>
          <w:rFonts w:cs="Times New Roman" w:ascii="Times New Roman" w:hAnsi="Times New Roman"/>
          <w:sz w:val="22"/>
        </w:rPr>
        <w:t>Florida Gas</w:t>
      </w:r>
    </w:p>
    <w:p>
      <w:pPr>
        <w:pStyle w:val="BodyText3"/>
        <w:spacing w:lineRule="auto" w:line="480"/>
        <w:jc w:val="both"/>
        <w:rPr/>
      </w:pPr>
      <w:r>
        <w:rPr>
          <w:rFonts w:cs="Times New Roman" w:ascii="Times New Roman" w:hAnsi="Times New Roman"/>
          <w:sz w:val="22"/>
        </w:rPr>
        <w:t>We obtained our FERC certificate on Phase IV, completed construction on the Ft. Myers lateral, on time and under budget, and successfully made initial deliveries to Florida Power and Light at their repowered facility on October 1.    On November 21</w:t>
      </w:r>
      <w:r>
        <w:rPr>
          <w:rFonts w:cs="Times New Roman" w:ascii="Times New Roman" w:hAnsi="Times New Roman"/>
          <w:sz w:val="22"/>
          <w:vertAlign w:val="superscript"/>
        </w:rPr>
        <w:t>st</w:t>
      </w:r>
      <w:r>
        <w:rPr>
          <w:rFonts w:cs="Times New Roman" w:ascii="Times New Roman" w:hAnsi="Times New Roman"/>
          <w:sz w:val="22"/>
        </w:rPr>
        <w:t>, we obtained a favorable Preliminary Determination on our Phase V project approving the business deal that we had proposed, in spite of having significantly revised the filing on August 1 to include a new customer and new facilities in the project.  The FERC staff is working on issuing our Environmental Impact Statement, which has been delayed until early spring due to the amended filing.   We remain on target, however, for timely receipt of our certificate to allow construction to begin by the second quarter of next year and completion in accordance with all contractual provisions.   Negotiations are ongoing for our Phase VI expansion of the system.  The current market support level is for an expansion of about 150 MMBtu/d with a potential of 65MMBtu/d from Orlando Utilities Commission and a seasonal 40 MMBtu/d from Florida Power Corp.</w:t>
      </w:r>
    </w:p>
    <w:p>
      <w:pPr>
        <w:pStyle w:val="Normal"/>
        <w:spacing w:lineRule="auto" w:line="480"/>
        <w:jc w:val="both"/>
        <w:rPr>
          <w:rFonts w:ascii="Times New Roman" w:hAnsi="Times New Roman" w:cs="Times New Roman"/>
          <w:sz w:val="22"/>
        </w:rPr>
      </w:pPr>
      <w:r>
        <w:rPr>
          <w:rFonts w:cs="Times New Roman"/>
          <w:sz w:val="22"/>
        </w:rPr>
      </w:r>
    </w:p>
    <w:p>
      <w:pPr>
        <w:pStyle w:val="Normal"/>
        <w:spacing w:lineRule="auto" w:line="480"/>
        <w:jc w:val="both"/>
        <w:rPr>
          <w:b/>
          <w:sz w:val="22"/>
        </w:rPr>
      </w:pPr>
      <w:r>
        <w:rPr>
          <w:b/>
          <w:sz w:val="22"/>
        </w:rPr>
        <w:t>Northern Border</w:t>
      </w:r>
    </w:p>
    <w:p>
      <w:pPr>
        <w:pStyle w:val="BodyText3"/>
        <w:spacing w:lineRule="auto" w:line="480"/>
        <w:jc w:val="both"/>
        <w:rPr>
          <w:rFonts w:ascii="Times New Roman" w:hAnsi="Times New Roman" w:cs="Times New Roman"/>
          <w:sz w:val="22"/>
        </w:rPr>
      </w:pPr>
      <w:r>
        <w:rPr>
          <w:rFonts w:cs="Times New Roman" w:ascii="Times New Roman" w:hAnsi="Times New Roman"/>
          <w:sz w:val="22"/>
        </w:rPr>
        <w:t>On March 16, 2000, the Commission issued a certificate to construct and operate the Project 2000 expansion of the pipeline system.  On April 27, Northern Border accepted the certificate and is in the process of complying with its conditions in order to permit construction and an anticipated in-service date of November 1, 2001.</w:t>
      </w:r>
    </w:p>
    <w:p>
      <w:pPr>
        <w:pStyle w:val="BodyText3"/>
        <w:spacing w:lineRule="auto" w:line="480"/>
        <w:jc w:val="both"/>
        <w:rPr>
          <w:rFonts w:ascii="Times New Roman" w:hAnsi="Times New Roman" w:cs="Times New Roman"/>
          <w:b/>
          <w:sz w:val="22"/>
        </w:rPr>
      </w:pPr>
      <w:r>
        <w:rPr>
          <w:rFonts w:cs="Times New Roman" w:ascii="Times New Roman" w:hAnsi="Times New Roman"/>
          <w:b/>
          <w:sz w:val="22"/>
        </w:rPr>
        <w:t>Transwestern</w:t>
      </w:r>
    </w:p>
    <w:p>
      <w:pPr>
        <w:pStyle w:val="BodyText3"/>
        <w:spacing w:lineRule="auto" w:line="480"/>
        <w:jc w:val="both"/>
        <w:rPr>
          <w:rFonts w:ascii="Times New Roman" w:hAnsi="Times New Roman" w:cs="Times New Roman"/>
          <w:sz w:val="22"/>
        </w:rPr>
      </w:pPr>
      <w:r>
        <w:rPr>
          <w:rFonts w:cs="Times New Roman" w:ascii="Times New Roman" w:hAnsi="Times New Roman"/>
          <w:sz w:val="22"/>
        </w:rPr>
        <w:t>The Gallup Expansion was placed into service on schedule on May 1, 2000.  The 140 MMBtu/d expansion is fully subscribed with 5-year contracts, resulting in $8.7 million per year of added revenue.</w:t>
      </w:r>
    </w:p>
    <w:p>
      <w:pPr>
        <w:pStyle w:val="BodyText"/>
        <w:spacing w:lineRule="auto" w:line="480"/>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jc w:val="both"/>
        <w:rPr>
          <w:rFonts w:ascii="Times New Roman" w:hAnsi="Times New Roman" w:cs="Times New Roman"/>
          <w:sz w:val="22"/>
        </w:rPr>
      </w:pPr>
      <w:r>
        <w:rPr>
          <w:rFonts w:cs="Times New Roman" w:ascii="Times New Roman" w:hAnsi="Times New Roman"/>
          <w:sz w:val="22"/>
        </w:rPr>
        <w:t>Close accretive acquisitions of $100 million and $150 million respectively for EOTT and</w:t>
      </w:r>
    </w:p>
    <w:p>
      <w:pPr>
        <w:pStyle w:val="BodyText"/>
        <w:ind w:firstLine="405" w:end="0"/>
        <w:jc w:val="both"/>
        <w:rPr>
          <w:rFonts w:ascii="Times New Roman" w:hAnsi="Times New Roman" w:cs="Times New Roman"/>
          <w:sz w:val="22"/>
        </w:rPr>
      </w:pPr>
      <w:r>
        <w:rPr>
          <w:rFonts w:cs="Times New Roman" w:ascii="Times New Roman" w:hAnsi="Times New Roman"/>
          <w:sz w:val="22"/>
        </w:rPr>
        <w:t>Northern Border.</w:t>
      </w:r>
    </w:p>
    <w:p>
      <w:pPr>
        <w:pStyle w:val="BodyText"/>
        <w:ind w:firstLine="405" w:end="0"/>
        <w:jc w:val="both"/>
        <w:rPr>
          <w:rFonts w:ascii="Times New Roman" w:hAnsi="Times New Roman" w:cs="Times New Roman"/>
          <w:sz w:val="22"/>
        </w:rPr>
      </w:pPr>
      <w:r>
        <w:rPr>
          <w:rFonts w:cs="Times New Roman" w:ascii="Times New Roman" w:hAnsi="Times New Roman"/>
          <w:sz w:val="22"/>
        </w:rPr>
      </w:r>
    </w:p>
    <w:p>
      <w:pPr>
        <w:pStyle w:val="BodyText"/>
        <w:jc w:val="both"/>
        <w:rPr>
          <w:rFonts w:ascii="Times New Roman" w:hAnsi="Times New Roman" w:cs="Times New Roman"/>
          <w:sz w:val="22"/>
        </w:rPr>
      </w:pPr>
      <w:r>
        <w:rPr>
          <w:rFonts w:cs="Times New Roman" w:ascii="Times New Roman" w:hAnsi="Times New Roman"/>
          <w:sz w:val="22"/>
        </w:rPr>
      </w:r>
    </w:p>
    <w:p>
      <w:pPr>
        <w:pStyle w:val="Heading1"/>
        <w:spacing w:lineRule="auto" w:line="480"/>
        <w:ind w:hanging="0" w:start="0"/>
        <w:jc w:val="both"/>
        <w:rPr>
          <w:rFonts w:ascii="Times New Roman" w:hAnsi="Times New Roman" w:cs="Times New Roman"/>
          <w:sz w:val="22"/>
        </w:rPr>
      </w:pPr>
      <w:r>
        <w:rPr>
          <w:rFonts w:cs="Times New Roman" w:ascii="Times New Roman" w:hAnsi="Times New Roman"/>
          <w:sz w:val="22"/>
        </w:rPr>
        <w:t>EOTT</w:t>
      </w:r>
    </w:p>
    <w:p>
      <w:pPr>
        <w:pStyle w:val="BodyText3"/>
        <w:spacing w:lineRule="auto" w:line="480"/>
        <w:jc w:val="both"/>
        <w:rPr>
          <w:rFonts w:ascii="Times New Roman" w:hAnsi="Times New Roman" w:cs="Times New Roman"/>
          <w:sz w:val="22"/>
        </w:rPr>
      </w:pPr>
      <w:r>
        <w:rPr>
          <w:rFonts w:cs="Times New Roman" w:ascii="Times New Roman" w:hAnsi="Times New Roman"/>
          <w:sz w:val="22"/>
        </w:rPr>
        <w:t>Due to the high cost of capital for EOTT, and the need to tighten internal controls and improve the financial results of our existing assets, we have chosen not to pursue further acquisitions at this time.</w:t>
      </w:r>
    </w:p>
    <w:p>
      <w:pPr>
        <w:pStyle w:val="BodyText"/>
        <w:jc w:val="both"/>
        <w:rPr>
          <w:rFonts w:ascii="Times New Roman" w:hAnsi="Times New Roman" w:cs="Times New Roman"/>
          <w:sz w:val="22"/>
        </w:rPr>
      </w:pPr>
      <w:r>
        <w:rPr>
          <w:rFonts w:cs="Times New Roman" w:ascii="Times New Roman" w:hAnsi="Times New Roman"/>
          <w:sz w:val="22"/>
        </w:rPr>
      </w:r>
    </w:p>
    <w:p>
      <w:pPr>
        <w:pStyle w:val="Heading2"/>
        <w:spacing w:lineRule="auto" w:line="480"/>
        <w:ind w:hanging="0" w:start="0"/>
        <w:jc w:val="both"/>
        <w:rPr>
          <w:sz w:val="22"/>
        </w:rPr>
      </w:pPr>
      <w:r>
        <w:rPr>
          <w:sz w:val="22"/>
        </w:rPr>
        <w:t>Northern Border</w:t>
      </w:r>
    </w:p>
    <w:p>
      <w:pPr>
        <w:pStyle w:val="Normal"/>
        <w:spacing w:lineRule="auto" w:line="480"/>
        <w:jc w:val="both"/>
        <w:rPr>
          <w:sz w:val="22"/>
        </w:rPr>
      </w:pPr>
      <w:r>
        <w:rPr>
          <w:sz w:val="22"/>
        </w:rPr>
        <w:t>In June, NBP Energy Pipelines, L.L.C. acquired 80% of the Preferred "A" Interest in Bighorn Gas Gathering for $20 million, allowing the system to be expanded into the production area for the first time.   A large producer in the Powder River Basin, J.M. Huber has dedicated 100,000 acres to anchor the Western Header Project of Bighorn.  This is a 56-mile, 20-inch diameter extension of the gathering system.  NBP's share of which is $7 million.  In addition, NBP invested an additional $3 million this year to fund various Bighorn lateral projects.   We have also acquired from Enron their 10% equity interest in Bighorn Gas Gathering, 33% equity interest in Fort Union Gathering, 35% equity interest in Lost Creek Gas Gathering, and a 100% equity interest in EMS Gas Gathering for $205 million.  The deal closed in September and a new entity called Crestone Energy Ventures was formed to manage these assets and grow NBP's presence in the gathering business in the Rocky Mountain region.</w:t>
      </w:r>
    </w:p>
    <w:p>
      <w:pPr>
        <w:pStyle w:val="Normal"/>
        <w:spacing w:lineRule="auto" w:line="480"/>
        <w:jc w:val="both"/>
        <w:rPr>
          <w:sz w:val="22"/>
        </w:rPr>
      </w:pPr>
      <w:r>
        <w:rPr>
          <w:sz w:val="22"/>
        </w:rPr>
      </w:r>
    </w:p>
    <w:p>
      <w:pPr>
        <w:pStyle w:val="Normal"/>
        <w:spacing w:lineRule="auto" w:line="480"/>
        <w:jc w:val="both"/>
        <w:rPr>
          <w:sz w:val="22"/>
        </w:rPr>
      </w:pPr>
      <w:r>
        <w:rPr>
          <w:sz w:val="22"/>
        </w:rPr>
      </w:r>
    </w:p>
    <w:p>
      <w:pPr>
        <w:pStyle w:val="Heading1"/>
        <w:spacing w:lineRule="auto" w:line="360"/>
        <w:ind w:hanging="0" w:start="0"/>
        <w:jc w:val="both"/>
        <w:rPr>
          <w:rFonts w:ascii="Times New Roman" w:hAnsi="Times New Roman" w:cs="Times New Roman"/>
          <w:sz w:val="22"/>
        </w:rPr>
      </w:pPr>
      <w:r>
        <w:rPr>
          <w:rFonts w:cs="Times New Roman" w:ascii="Times New Roman" w:hAnsi="Times New Roman"/>
          <w:sz w:val="22"/>
        </w:rPr>
        <w:t>3.   Divest of Enron's Clean Fuels business on terms that avoid further write-offs.</w:t>
      </w:r>
    </w:p>
    <w:p>
      <w:pPr>
        <w:pStyle w:val="BodyText2"/>
        <w:spacing w:lineRule="auto" w:line="360"/>
        <w:jc w:val="both"/>
        <w:rPr>
          <w:rFonts w:ascii="Times New Roman" w:hAnsi="Times New Roman" w:cs="Times New Roman"/>
          <w:sz w:val="22"/>
        </w:rPr>
      </w:pPr>
      <w:r>
        <w:rPr>
          <w:rFonts w:cs="Times New Roman" w:ascii="Times New Roman" w:hAnsi="Times New Roman"/>
          <w:sz w:val="22"/>
        </w:rPr>
      </w:r>
    </w:p>
    <w:p>
      <w:pPr>
        <w:pStyle w:val="BodyText2"/>
        <w:spacing w:lineRule="auto" w:line="480"/>
        <w:jc w:val="both"/>
        <w:rPr>
          <w:rFonts w:ascii="Times New Roman" w:hAnsi="Times New Roman" w:cs="Times New Roman"/>
          <w:sz w:val="22"/>
        </w:rPr>
      </w:pPr>
      <w:r>
        <w:rPr>
          <w:rFonts w:cs="Times New Roman" w:ascii="Times New Roman" w:hAnsi="Times New Roman"/>
          <w:sz w:val="22"/>
        </w:rPr>
        <w:t>We have solicited offers and provided data to potential interested parties for all or part of the Clean Fuels assets.  Discussions were held with several companies.  The book value of these assets is about $220 million, and no one was interested in purchasing any of these assets for more than a nominal value.  As a result, all offers or potential offers would have resulted in a substantial write-off for Enron.   We are continuing to seek potential purchasers as well as looking at alternative uses for the facilities.</w:t>
      </w:r>
    </w:p>
    <w:p>
      <w:pPr>
        <w:pStyle w:val="BodyText2"/>
        <w:spacing w:lineRule="auto" w:line="480"/>
        <w:jc w:val="both"/>
        <w:rPr>
          <w:rFonts w:ascii="Times New Roman" w:hAnsi="Times New Roman" w:cs="Times New Roman"/>
          <w:sz w:val="22"/>
        </w:rPr>
      </w:pPr>
      <w:r>
        <w:rPr>
          <w:rFonts w:cs="Times New Roman" w:ascii="Times New Roman" w:hAnsi="Times New Roman"/>
          <w:sz w:val="22"/>
        </w:rPr>
      </w:r>
    </w:p>
    <w:p>
      <w:pPr>
        <w:pStyle w:val="BodyText2"/>
        <w:spacing w:lineRule="auto" w:line="480"/>
        <w:jc w:val="both"/>
        <w:rPr>
          <w:rFonts w:ascii="Times New Roman" w:hAnsi="Times New Roman" w:cs="Times New Roman"/>
          <w:b/>
          <w:sz w:val="22"/>
        </w:rPr>
      </w:pPr>
      <w:r>
        <w:rPr>
          <w:rFonts w:cs="Times New Roman" w:ascii="Times New Roman" w:hAnsi="Times New Roman"/>
          <w:b/>
          <w:sz w:val="22"/>
        </w:rPr>
        <w:t>Other Significant Accomplishments:</w:t>
      </w:r>
    </w:p>
    <w:p>
      <w:pPr>
        <w:pStyle w:val="BodyText2"/>
        <w:numPr>
          <w:ilvl w:val="0"/>
          <w:numId w:val="3"/>
        </w:numPr>
        <w:spacing w:lineRule="auto" w:line="480"/>
        <w:jc w:val="both"/>
        <w:rPr>
          <w:rFonts w:ascii="Times New Roman" w:hAnsi="Times New Roman" w:cs="Times New Roman"/>
          <w:sz w:val="22"/>
        </w:rPr>
      </w:pPr>
      <w:r>
        <w:rPr>
          <w:rFonts w:cs="Times New Roman" w:ascii="Times New Roman" w:hAnsi="Times New Roman"/>
          <w:sz w:val="22"/>
        </w:rPr>
        <w:t>Met or exceeded all financial targets.</w:t>
      </w:r>
    </w:p>
    <w:p>
      <w:pPr>
        <w:pStyle w:val="BodyText2"/>
        <w:numPr>
          <w:ilvl w:val="0"/>
          <w:numId w:val="3"/>
        </w:numPr>
        <w:spacing w:lineRule="auto" w:line="480"/>
        <w:jc w:val="both"/>
        <w:rPr>
          <w:rFonts w:ascii="Times New Roman" w:hAnsi="Times New Roman" w:cs="Times New Roman"/>
          <w:sz w:val="22"/>
        </w:rPr>
      </w:pPr>
      <w:r>
        <w:rPr>
          <w:rFonts w:cs="Times New Roman" w:ascii="Times New Roman" w:hAnsi="Times New Roman"/>
          <w:sz w:val="22"/>
        </w:rPr>
        <w:t>Resolved favorably all issues in the Northern Border rate case and have successfully converted the “cost of service tariff” to a form that will allow for potential upside in the income.    This settlement also allows for the full recovery of the Chicago Project construction expenditures and avoids any adverse impact from the project overruns.     Final approval of the settlement is expected by the FERC in early 2001.</w:t>
      </w:r>
    </w:p>
    <w:p>
      <w:pPr>
        <w:pStyle w:val="BodyText2"/>
        <w:numPr>
          <w:ilvl w:val="0"/>
          <w:numId w:val="3"/>
        </w:numPr>
        <w:spacing w:lineRule="auto" w:line="480"/>
        <w:jc w:val="both"/>
        <w:rPr>
          <w:rFonts w:ascii="Times New Roman" w:hAnsi="Times New Roman" w:cs="Times New Roman"/>
          <w:sz w:val="22"/>
        </w:rPr>
      </w:pPr>
      <w:r>
        <w:rPr>
          <w:rFonts w:cs="Times New Roman" w:ascii="Times New Roman" w:hAnsi="Times New Roman"/>
          <w:sz w:val="22"/>
        </w:rPr>
        <w:t>Received final approval from the external auditors of Citrus for the adoption of FAS 133 generating an additional income of about $30 million.</w:t>
      </w:r>
    </w:p>
    <w:p>
      <w:pPr>
        <w:pStyle w:val="BodyText2"/>
        <w:spacing w:lineRule="auto" w:line="480"/>
        <w:ind w:start="360" w:end="0"/>
        <w:rPr>
          <w:rFonts w:ascii="Times New Roman" w:hAnsi="Times New Roman" w:cs="Times New Roman"/>
          <w:sz w:val="22"/>
        </w:rPr>
      </w:pPr>
      <w:r>
        <w:rPr>
          <w:rFonts w:cs="Times New Roman" w:ascii="Times New Roman" w:hAnsi="Times New Roman"/>
          <w:sz w:val="22"/>
        </w:rPr>
      </w:r>
    </w:p>
    <w:p>
      <w:pPr>
        <w:pStyle w:val="BodyText2"/>
        <w:spacing w:lineRule="auto" w:line="480"/>
        <w:rPr>
          <w:rFonts w:ascii="Times New Roman" w:hAnsi="Times New Roman" w:cs="Times New Roman"/>
          <w:sz w:val="22"/>
        </w:rPr>
      </w:pPr>
      <w:r>
        <w:rPr>
          <w:rFonts w:cs="Times New Roman" w:ascii="Times New Roman" w:hAnsi="Times New Roman"/>
          <w:sz w:val="22"/>
        </w:rPr>
        <w:t xml:space="preserve">  </w:t>
      </w:r>
    </w:p>
    <w:p>
      <w:pPr>
        <w:pStyle w:val="BodyText2"/>
        <w:spacing w:lineRule="auto" w:line="480"/>
        <w:rPr>
          <w:rFonts w:ascii="Times New Roman" w:hAnsi="Times New Roman" w:cs="Times New Roman"/>
          <w:b/>
          <w:sz w:val="22"/>
        </w:rPr>
      </w:pPr>
      <w:r>
        <w:rPr>
          <w:rFonts w:cs="Times New Roman" w:ascii="Times New Roman" w:hAnsi="Times New Roman"/>
          <w:b/>
          <w:sz w:val="22"/>
        </w:rPr>
      </w:r>
    </w:p>
    <w:p>
      <w:pPr>
        <w:pStyle w:val="BodyText2"/>
        <w:spacing w:lineRule="auto" w:line="480"/>
        <w:rPr>
          <w:rFonts w:ascii="Times New Roman" w:hAnsi="Times New Roman" w:cs="Times New Roman"/>
          <w:b/>
          <w:sz w:val="22"/>
        </w:rPr>
      </w:pPr>
      <w:r>
        <w:rPr>
          <w:rFonts w:cs="Times New Roman" w:ascii="Times New Roman" w:hAnsi="Times New Roman"/>
          <w:b/>
          <w:sz w:val="22"/>
        </w:rPr>
      </w:r>
    </w:p>
    <w:p>
      <w:pPr>
        <w:pStyle w:val="BodyText2"/>
        <w:spacing w:lineRule="auto" w:line="480"/>
        <w:rPr>
          <w:rFonts w:ascii="Times New Roman" w:hAnsi="Times New Roman" w:cs="Times New Roman"/>
          <w:b/>
          <w:sz w:val="22"/>
        </w:rPr>
      </w:pPr>
      <w:r>
        <w:rPr>
          <w:rFonts w:cs="Times New Roman" w:ascii="Times New Roman" w:hAnsi="Times New Roman"/>
          <w:b/>
          <w:sz w:val="22"/>
        </w:rPr>
      </w:r>
    </w:p>
    <w:p>
      <w:pPr>
        <w:pStyle w:val="BodyText2"/>
        <w:spacing w:lineRule="auto" w:line="480"/>
        <w:rPr>
          <w:rFonts w:ascii="Times New Roman" w:hAnsi="Times New Roman" w:cs="Times New Roman"/>
          <w:b/>
          <w:sz w:val="22"/>
        </w:rPr>
      </w:pPr>
      <w:r>
        <w:rPr>
          <w:rFonts w:cs="Times New Roman" w:ascii="Times New Roman" w:hAnsi="Times New Roman"/>
          <w:b/>
          <w:sz w:val="22"/>
        </w:rPr>
      </w:r>
    </w:p>
    <w:p>
      <w:pPr>
        <w:pStyle w:val="BodyText2"/>
        <w:spacing w:lineRule="auto" w:line="480"/>
        <w:rPr>
          <w:rFonts w:ascii="Times New Roman" w:hAnsi="Times New Roman" w:cs="Times New Roman"/>
          <w:b/>
          <w:sz w:val="22"/>
        </w:rPr>
      </w:pPr>
      <w:r>
        <w:rPr>
          <w:rFonts w:cs="Times New Roman" w:ascii="Times New Roman" w:hAnsi="Times New Roman"/>
          <w:b/>
          <w:sz w:val="22"/>
        </w:rPr>
      </w:r>
    </w:p>
    <w:p>
      <w:pPr>
        <w:pStyle w:val="BodyText2"/>
        <w:spacing w:lineRule="auto" w:line="480"/>
        <w:rPr>
          <w:rFonts w:ascii="Times New Roman" w:hAnsi="Times New Roman" w:cs="Times New Roman"/>
          <w:b/>
          <w:sz w:val="16"/>
        </w:rPr>
      </w:pPr>
      <w:r>
        <w:rPr>
          <w:rFonts w:cs="Times New Roman" w:ascii="Times New Roman" w:hAnsi="Times New Roman"/>
          <w:b/>
          <w:sz w:val="16"/>
        </w:rPr>
        <w:t>2000 ETS Goals &amp; Objectives.doc/cs</w:t>
      </w:r>
    </w:p>
    <w:sectPr>
      <w:type w:val="nextPage"/>
      <w:pgSz w:w="12240" w:h="15840"/>
      <w:pgMar w:left="1872"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05"/>
        </w:tabs>
        <w:ind w:start="405" w:hanging="405"/>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20"/>
      <w:szCs w:val="20"/>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rPr>
      <w:rFonts w:ascii="Arial" w:hAnsi="Arial" w:cs="Arial"/>
      <w:b/>
      <w:bCs/>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color w:val="000000"/>
      <w:sz w:val="20"/>
      <w:szCs w:val="20"/>
    </w:rPr>
  </w:style>
  <w:style w:type="paragraph" w:styleId="BodyText3">
    <w:name w:val="Body Text 3"/>
    <w:basedOn w:val="Normal"/>
    <w:qFormat/>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2000-12-01T12:12:00Z</dcterms:created>
  <dc:creator>Valued Gateway Client </dc:creator>
  <dc:description/>
  <dc:language>en-CA</dc:language>
  <cp:lastModifiedBy>cstark</cp:lastModifiedBy>
  <cp:lastPrinted>2000-12-01T11:33:00Z</cp:lastPrinted>
  <dcterms:modified xsi:type="dcterms:W3CDTF">2000-12-01T15:22:00Z</dcterms:modified>
  <cp:revision>12</cp:revision>
  <dc:subject/>
  <dc:title>ENRON TRANSPORTATION SERVICES</dc:title>
</cp:coreProperties>
</file>