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Mike Terraso     January 3, 2001</w:t>
      </w:r>
    </w:p>
    <w:p>
      <w:pPr>
        <w:pStyle w:val="Normal"/>
        <w:rPr/>
      </w:pPr>
      <w:r>
        <w:rPr/>
      </w:r>
    </w:p>
    <w:p>
      <w:pPr>
        <w:pStyle w:val="Normal"/>
        <w:rPr/>
      </w:pPr>
      <w:r>
        <w:rPr/>
        <w:t>Environmental, Health and Safety</w:t>
      </w:r>
    </w:p>
    <w:p>
      <w:pPr>
        <w:pStyle w:val="Normal"/>
        <w:rPr/>
      </w:pPr>
      <w:r>
        <w:rPr/>
        <w:t>2000 Accomplishments</w:t>
      </w:r>
    </w:p>
    <w:p>
      <w:pPr>
        <w:pStyle w:val="Normal"/>
        <w:rPr/>
      </w:pPr>
      <w:r>
        <w:rPr/>
      </w:r>
    </w:p>
    <w:p>
      <w:pPr>
        <w:pStyle w:val="Normal"/>
        <w:rPr/>
      </w:pPr>
      <w:r>
        <w:rPr/>
        <w:t>Our goal this year was to implement a recognized quality comprehensive environmental and safety management system for Enron and to enhance internal and external communication and relationships.</w:t>
      </w:r>
    </w:p>
    <w:p>
      <w:pPr>
        <w:pStyle w:val="Normal"/>
        <w:rPr/>
      </w:pPr>
      <w:r>
        <w:rPr/>
      </w:r>
    </w:p>
    <w:p>
      <w:pPr>
        <w:pStyle w:val="Normal"/>
        <w:numPr>
          <w:ilvl w:val="0"/>
          <w:numId w:val="1"/>
        </w:numPr>
        <w:rPr/>
      </w:pPr>
      <w:r>
        <w:rPr>
          <w:b/>
          <w:bCs/>
        </w:rPr>
        <w:t>Enron EHS Annual Report</w:t>
      </w:r>
      <w:r>
        <w:rPr/>
        <w:t xml:space="preserve"> - The first edition was published on the internet in October.  The site has been visited over 4000 times primarily by external interests.  The report has received high marks for completeness of information by the investor, consulting and NGO communities. Print copies have been distributed to the Board of Directors.  It has been an effective document in responding to stakeholder and shareholder EHS and corporate responsibility information requests.  It has established a firm performance measure baseline and documented Enron’s EHS and Corporate Responsibility policies, practices and goals.</w:t>
      </w:r>
    </w:p>
    <w:p>
      <w:pPr>
        <w:pStyle w:val="Normal"/>
        <w:rPr/>
      </w:pPr>
      <w:r>
        <w:rPr/>
      </w:r>
    </w:p>
    <w:p>
      <w:pPr>
        <w:pStyle w:val="Normal"/>
        <w:numPr>
          <w:ilvl w:val="0"/>
          <w:numId w:val="1"/>
        </w:numPr>
        <w:rPr/>
      </w:pPr>
      <w:r>
        <w:rPr>
          <w:b/>
          <w:bCs/>
        </w:rPr>
        <w:t>Enron EHS Management System Standards / Guidelines</w:t>
      </w:r>
      <w:r>
        <w:rPr/>
        <w:t xml:space="preserve"> – The documented standards and guidelines were translated into the major languages used at Enron assets.  These were distributed and used to enhance operational quality and compliance uniformity throughout Enron’s facilities and operations.  The EHS audit program assessed implementation and recommended actions for improvement.</w:t>
      </w:r>
    </w:p>
    <w:p>
      <w:pPr>
        <w:pStyle w:val="Normal"/>
        <w:rPr/>
      </w:pPr>
      <w:r>
        <w:rPr/>
      </w:r>
    </w:p>
    <w:p>
      <w:pPr>
        <w:pStyle w:val="Normal"/>
        <w:numPr>
          <w:ilvl w:val="0"/>
          <w:numId w:val="1"/>
        </w:numPr>
        <w:rPr>
          <w:b/>
          <w:bCs/>
        </w:rPr>
      </w:pPr>
      <w:r>
        <w:rPr>
          <w:b/>
          <w:bCs/>
        </w:rPr>
        <w:t xml:space="preserve">Enron EHS Council- </w:t>
      </w:r>
      <w:r>
        <w:rPr/>
        <w:t xml:space="preserve">council membership was expanded to include Corporate Responsibility, Risk Management, Wellness, and Community Affairs, in addition to Legal, operating company and corporate EHS management.  A Safety and an Environmental Sub council were founded to focus on specific issues and to develop and implement programs.  Quarterly council meetings were supplemented with indirect report staff meetings to enhance cooperation and communication within the company.  </w:t>
      </w:r>
    </w:p>
    <w:p>
      <w:pPr>
        <w:pStyle w:val="Normal"/>
        <w:rPr>
          <w:b/>
          <w:bCs/>
        </w:rPr>
      </w:pPr>
      <w:r>
        <w:rPr>
          <w:b/>
          <w:bCs/>
        </w:rPr>
      </w:r>
    </w:p>
    <w:p>
      <w:pPr>
        <w:pStyle w:val="Normal"/>
        <w:numPr>
          <w:ilvl w:val="0"/>
          <w:numId w:val="1"/>
        </w:numPr>
        <w:rPr>
          <w:b/>
          <w:bCs/>
        </w:rPr>
      </w:pPr>
      <w:r>
        <w:rPr>
          <w:b/>
          <w:bCs/>
        </w:rPr>
        <w:t xml:space="preserve">Enron Climate Change Position Statement – </w:t>
      </w:r>
      <w:r>
        <w:rPr/>
        <w:t xml:space="preserve">we coordinated the internal review and development of the Enron strategy for managing the climate change issue.  The position was documented in the annual EHS report and on the internet.  The documented position has been helpful in responding to stakeholder and media requests regarding the issue and in enhancing Enron’s reputation with environmental groups. </w:t>
      </w:r>
    </w:p>
    <w:p>
      <w:pPr>
        <w:pStyle w:val="Normal"/>
        <w:rPr>
          <w:b/>
          <w:bCs/>
        </w:rPr>
      </w:pPr>
      <w:r>
        <w:rPr>
          <w:b/>
          <w:bCs/>
        </w:rPr>
      </w:r>
    </w:p>
    <w:p>
      <w:pPr>
        <w:pStyle w:val="Normal"/>
        <w:numPr>
          <w:ilvl w:val="0"/>
          <w:numId w:val="1"/>
        </w:numPr>
        <w:rPr/>
      </w:pPr>
      <w:r>
        <w:rPr>
          <w:b/>
          <w:bCs/>
        </w:rPr>
        <w:t xml:space="preserve">Enron Biodiversity and Sustainability Strategy – </w:t>
      </w:r>
      <w:r>
        <w:rPr/>
        <w:t>in response to shareholder proxy requests, we have worked very closely with the Corporate Responsibility to initiate development of realistic, effective and acceptable corporate strategies regarding these issues.  We are participating in a formal program led by the Conservation International’s Center for Environmental Leadership in Business along with other conservation groups and major industry leaders to review mechanisms to integrate biodiversity conservation into energy development projects.</w:t>
      </w:r>
    </w:p>
    <w:p>
      <w:pPr>
        <w:pStyle w:val="Normal"/>
        <w:rPr/>
      </w:pPr>
      <w:r>
        <w:rPr/>
      </w:r>
    </w:p>
    <w:p>
      <w:pPr>
        <w:pStyle w:val="Normal"/>
        <w:numPr>
          <w:ilvl w:val="0"/>
          <w:numId w:val="1"/>
        </w:numPr>
        <w:rPr/>
      </w:pPr>
      <w:r>
        <w:rPr>
          <w:b/>
          <w:bCs/>
        </w:rPr>
        <w:t xml:space="preserve">NGO Relationships – </w:t>
      </w:r>
      <w:r>
        <w:rPr/>
        <w:t>working as a team with Corporate Responsibility we have mended fences and enhanced relationships through dialogue and program implementation follow through.  We have met with WWF several times and have assisted EES in building a cooperative relationship to provide EES customers the WWF Climate Savers certification.  We have had effective frank dialogue regarding our EHS programs and management systems with Friends of the Earth, Amazon Watch, the Nature Conservancy and CERES.  The issues have been narrowed down to Cuiaba and we have made some headway there.</w:t>
      </w:r>
    </w:p>
    <w:p>
      <w:pPr>
        <w:pStyle w:val="Normal"/>
        <w:rPr/>
      </w:pPr>
      <w:r>
        <w:rPr/>
      </w:r>
    </w:p>
    <w:p>
      <w:pPr>
        <w:pStyle w:val="Normal"/>
        <w:numPr>
          <w:ilvl w:val="0"/>
          <w:numId w:val="1"/>
        </w:numPr>
        <w:rPr/>
      </w:pPr>
      <w:r>
        <w:rPr>
          <w:b/>
          <w:bCs/>
        </w:rPr>
        <w:t>Greenhouse Gas Inventory</w:t>
      </w:r>
      <w:r>
        <w:rPr/>
        <w:t xml:space="preserve"> – we completed and A. D. Little validated our initial greenhouse gas inventory data.  We will publish the data in the 2000 annual EHS report and work with commercial companies to evaluate potential business opportunities in trading.  Ken Lay had publicly indicated we would do this in 1998.</w:t>
      </w:r>
    </w:p>
    <w:p>
      <w:pPr>
        <w:pStyle w:val="Normal"/>
        <w:rPr/>
      </w:pPr>
      <w:r>
        <w:rPr/>
      </w:r>
    </w:p>
    <w:p>
      <w:pPr>
        <w:pStyle w:val="Normal"/>
        <w:numPr>
          <w:ilvl w:val="0"/>
          <w:numId w:val="1"/>
        </w:numPr>
        <w:rPr/>
      </w:pPr>
      <w:r>
        <w:rPr>
          <w:b/>
          <w:bCs/>
        </w:rPr>
        <w:t>Due Diligence Participation –</w:t>
      </w:r>
      <w:r>
        <w:rPr/>
        <w:t>we have participated in some of the major acquisition reviews, such as the Alberta Power Purchase and EES’ Eli Lily effort. We have enhanced our relationship with the RAC group and will be routinely participating in their weekly project review meetings.</w:t>
      </w:r>
    </w:p>
    <w:p>
      <w:pPr>
        <w:pStyle w:val="Normal"/>
        <w:rPr/>
      </w:pPr>
      <w:r>
        <w:rPr/>
      </w:r>
    </w:p>
    <w:p>
      <w:pPr>
        <w:pStyle w:val="Normal"/>
        <w:numPr>
          <w:ilvl w:val="0"/>
          <w:numId w:val="1"/>
        </w:numPr>
        <w:rPr/>
      </w:pPr>
      <w:r>
        <w:rPr>
          <w:b/>
          <w:bCs/>
        </w:rPr>
        <w:t xml:space="preserve">EHS Web page – </w:t>
      </w:r>
      <w:r>
        <w:rPr/>
        <w:t>the corporate EHS web page made it to the intranet in December.  The site documents the corporate and business units EHS organizations, in addition to policies and programs, renewable energy information and international, federal and state legislative and regulatory environmental and safety information.  It provides a foundation for enhancing the competitive intelligence electronic format information requested by commercial groups.</w:t>
      </w:r>
    </w:p>
    <w:p>
      <w:pPr>
        <w:pStyle w:val="Normal"/>
        <w:rPr/>
      </w:pPr>
      <w:r>
        <w:rPr/>
      </w:r>
    </w:p>
    <w:p>
      <w:pPr>
        <w:pStyle w:val="Normal"/>
        <w:numPr>
          <w:ilvl w:val="0"/>
          <w:numId w:val="1"/>
        </w:numPr>
        <w:rPr/>
      </w:pPr>
      <w:r>
        <w:rPr>
          <w:b/>
          <w:bCs/>
        </w:rPr>
        <w:t>New Hire Orientation</w:t>
      </w:r>
      <w:r>
        <w:rPr/>
        <w:t>- We are now participating with Corporate Responsibility and operating company EHS staff in the weekly new hire orientation programs.  The effort currently is focused on providing literature and information on EHS activities, programs and policies.</w:t>
      </w:r>
    </w:p>
    <w:p>
      <w:pPr>
        <w:pStyle w:val="Normal"/>
        <w:rPr/>
      </w:pPr>
      <w:r>
        <w:rPr/>
      </w:r>
    </w:p>
    <w:p>
      <w:pPr>
        <w:pStyle w:val="Normal"/>
        <w:numPr>
          <w:ilvl w:val="0"/>
          <w:numId w:val="1"/>
        </w:numPr>
        <w:rPr/>
      </w:pPr>
      <w:r>
        <w:rPr>
          <w:b/>
          <w:bCs/>
        </w:rPr>
        <w:t>Competitive Intelligence –</w:t>
      </w:r>
      <w:r>
        <w:rPr/>
        <w:t xml:space="preserve"> we have provided regulatory analysis and intelligence in support of the Garden State Paper/ Pulp project (ENA); NOx impacts on power trading (ENA); environmental considerations for power quality and distributed generation business in targeted states (EES); NOx and SOx allowance trading regulation impacts on coal and power trading (EGM); “green product “ strategy sessions; regulatory summaries of environmental disclosure and RPS regulations (EES, ENA EWC); pollution tax credits for energy efficiency and renewable energy equipment installation; and, advance information on Clean Air Act/ New Source Review enforcement inquiries on merchant coal generation plants considered for acquisition (ENA).</w:t>
      </w:r>
    </w:p>
    <w:p>
      <w:pPr>
        <w:pStyle w:val="Normal"/>
        <w:rPr/>
      </w:pPr>
      <w:r>
        <w:rPr/>
      </w:r>
    </w:p>
    <w:p>
      <w:pPr>
        <w:pStyle w:val="Normal"/>
        <w:numPr>
          <w:ilvl w:val="0"/>
          <w:numId w:val="1"/>
        </w:numPr>
        <w:rPr/>
      </w:pPr>
      <w:r>
        <w:rPr>
          <w:b/>
          <w:bCs/>
        </w:rPr>
        <w:t xml:space="preserve">Corporate Operations (EHS) Audit Program Review – </w:t>
      </w:r>
      <w:r>
        <w:rPr/>
        <w:t>conducted process reviews and interviews regarding the organization and status of the corporate audit program, action plan implementation and report process. Th corporate audits are currently managed and performed by ETS.  Interviewed the audit program manager, ETS managing director of operations, and CEO Enron Assets.  Will make recommendations to Chief of Staff regarding process enhancements and specific organizational modifications in January 2001.</w:t>
      </w:r>
    </w:p>
    <w:p>
      <w:pPr>
        <w:pStyle w:val="Normal"/>
        <w:rPr/>
      </w:pPr>
      <w:r>
        <w:rPr/>
      </w:r>
    </w:p>
    <w:p>
      <w:pPr>
        <w:pStyle w:val="Normal"/>
        <w:numPr>
          <w:ilvl w:val="0"/>
          <w:numId w:val="1"/>
        </w:numPr>
        <w:rPr>
          <w:b/>
          <w:bCs/>
        </w:rPr>
      </w:pPr>
      <w:r>
        <w:rPr>
          <w:b/>
          <w:bCs/>
        </w:rPr>
        <w:t>Enron Asset/ Project Environmental and Safety Status Report –</w:t>
      </w:r>
      <w:r>
        <w:rPr/>
        <w:t xml:space="preserve"> initiated comprehensive spreadsheet listing, status, cost estimate and scheduling estimates for Enron assets and acquisition projects.  Provided spreadsheet to CEO Enron Assets and legal.</w:t>
      </w:r>
    </w:p>
    <w:p>
      <w:pPr>
        <w:pStyle w:val="Normal"/>
        <w:rPr>
          <w:b/>
          <w:bCs/>
        </w:rPr>
      </w:pPr>
      <w:r>
        <w:rPr>
          <w:b/>
          <w:bCs/>
        </w:rPr>
      </w:r>
    </w:p>
    <w:p>
      <w:pPr>
        <w:pStyle w:val="Normal"/>
        <w:numPr>
          <w:ilvl w:val="0"/>
          <w:numId w:val="1"/>
        </w:numPr>
        <w:rPr>
          <w:b/>
          <w:bCs/>
        </w:rPr>
      </w:pPr>
      <w:r>
        <w:rPr>
          <w:b/>
          <w:bCs/>
        </w:rPr>
        <w:t>International Emergency Response Contractors Identification –</w:t>
      </w:r>
      <w:r>
        <w:rPr/>
        <w:t xml:space="preserve"> interviewed and developed a listing of international contractors, resource location, and for potential use in the event of environmental emergencies.  Will further investigate capabilities and assist legal in contracting with the most capable agents.</w:t>
      </w:r>
    </w:p>
    <w:p>
      <w:pPr>
        <w:pStyle w:val="Normal"/>
        <w:rPr>
          <w:b/>
          <w:bCs/>
        </w:rPr>
      </w:pPr>
      <w:r>
        <w:rPr>
          <w:b/>
          <w:bCs/>
        </w:rPr>
      </w:r>
    </w:p>
    <w:p>
      <w:pPr>
        <w:pStyle w:val="Normal"/>
        <w:numPr>
          <w:ilvl w:val="0"/>
          <w:numId w:val="1"/>
        </w:numPr>
        <w:rPr>
          <w:b/>
          <w:bCs/>
        </w:rPr>
      </w:pPr>
      <w:r>
        <w:rPr>
          <w:b/>
          <w:bCs/>
        </w:rPr>
        <w:t>EES Origination Energy Outsourcing Clients –</w:t>
      </w:r>
      <w:r>
        <w:rPr/>
        <w:t xml:space="preserve"> utilizing industry environmental and energy management relationships, introduced EES management to potential energy outsourcing clients (General Motors, VP Environment and Energy) and offers to introduce others, Johnson &amp; Johnson, Anheiser-Busch, and Nike.  Presented the potential for emission credit incentives for EES energy efficiency outsourcing at the NARUC Conference. </w:t>
      </w:r>
    </w:p>
    <w:p>
      <w:pPr>
        <w:pStyle w:val="Normal"/>
        <w:rPr>
          <w:b/>
          <w:bCs/>
        </w:rPr>
      </w:pPr>
      <w:r>
        <w:rPr>
          <w:b/>
          <w:bCs/>
        </w:rPr>
      </w:r>
    </w:p>
    <w:p>
      <w:pPr>
        <w:pStyle w:val="Normal"/>
        <w:numPr>
          <w:ilvl w:val="0"/>
          <w:numId w:val="1"/>
        </w:numPr>
        <w:rPr>
          <w:b/>
          <w:bCs/>
        </w:rPr>
      </w:pPr>
      <w:r>
        <w:rPr>
          <w:b/>
          <w:bCs/>
        </w:rPr>
        <w:t xml:space="preserve">Environmental and Social Investors Evaluation – </w:t>
      </w:r>
      <w:r>
        <w:rPr/>
        <w:t>initiated development with Investor Relations a listing of the number of Enron shares held by pension funds and mutual funds with either an environmental or social performance focus or a policy regarding EHS performance.  The partial list indicates a minimum of 1.5 million shares.  The effort will be continued in 2001.</w:t>
      </w:r>
    </w:p>
    <w:p>
      <w:pPr>
        <w:pStyle w:val="Normal"/>
        <w:rPr>
          <w:b/>
          <w:bCs/>
        </w:rPr>
      </w:pPr>
      <w:r>
        <w:rPr>
          <w:b/>
          <w:bCs/>
        </w:rPr>
      </w:r>
    </w:p>
    <w:p>
      <w:pPr>
        <w:pStyle w:val="Normal"/>
        <w:ind w:start="360" w:end="0"/>
        <w:rPr>
          <w:b/>
          <w:bCs/>
        </w:rPr>
      </w:pPr>
      <w:r>
        <w:rPr>
          <w:b/>
          <w:bCs/>
        </w:rPr>
      </w:r>
    </w:p>
    <w:p>
      <w:pPr>
        <w:pStyle w:val="Normal"/>
        <w:numPr>
          <w:ilvl w:val="0"/>
          <w:numId w:val="1"/>
        </w:numPr>
        <w:rPr>
          <w:b/>
          <w:bCs/>
        </w:rPr>
      </w:pPr>
      <w:r>
        <w:rPr>
          <w:b/>
          <w:bCs/>
        </w:rPr>
        <w:t>Safety –</w:t>
      </w:r>
    </w:p>
    <w:p>
      <w:pPr>
        <w:pStyle w:val="Normal"/>
        <w:rPr>
          <w:b/>
          <w:bCs/>
        </w:rPr>
      </w:pPr>
      <w:r>
        <w:rPr>
          <w:b/>
          <w:bCs/>
        </w:rPr>
      </w:r>
    </w:p>
    <w:p>
      <w:pPr>
        <w:pStyle w:val="Normal"/>
        <w:ind w:start="720" w:end="0"/>
        <w:rPr/>
      </w:pPr>
      <w:r>
        <w:rPr>
          <w:b/>
          <w:bCs/>
        </w:rPr>
        <w:t xml:space="preserve">Ergonomics Regulation – </w:t>
      </w:r>
      <w:r>
        <w:rPr/>
        <w:t>coordinated a corporate effort in developing and implementing an ergonomics program safety procedure prior to an October 2000 deadline in order to qualify for grand fathering, thereby, allowing for flexibility in complying with the regulation and for an effective quality program for office and field personnel.</w:t>
      </w:r>
    </w:p>
    <w:p>
      <w:pPr>
        <w:pStyle w:val="Normal"/>
        <w:ind w:start="720" w:end="0"/>
        <w:rPr/>
      </w:pPr>
      <w:r>
        <w:rPr/>
      </w:r>
    </w:p>
    <w:p>
      <w:pPr>
        <w:pStyle w:val="Normal"/>
        <w:ind w:start="720" w:end="0"/>
        <w:rPr/>
      </w:pPr>
      <w:r>
        <w:rPr>
          <w:b/>
          <w:bCs/>
        </w:rPr>
        <w:t xml:space="preserve">OSHA 200 forms log- </w:t>
      </w:r>
      <w:r>
        <w:rPr/>
        <w:t>developed a program with Wellness and Workers Compensation to comply with regulations regarding the safety incident reporting by office employees and monitored previous reports.</w:t>
      </w:r>
    </w:p>
    <w:p>
      <w:pPr>
        <w:pStyle w:val="Normal"/>
        <w:ind w:start="720" w:end="0"/>
        <w:rPr/>
      </w:pPr>
      <w:r>
        <w:rPr/>
      </w:r>
    </w:p>
    <w:p>
      <w:pPr>
        <w:pStyle w:val="Normal"/>
        <w:ind w:start="720" w:end="0"/>
        <w:rPr/>
      </w:pPr>
      <w:r>
        <w:rPr>
          <w:b/>
          <w:bCs/>
        </w:rPr>
        <w:t xml:space="preserve">Safety Orientation Videos – </w:t>
      </w:r>
      <w:r>
        <w:rPr/>
        <w:t>developed new hire and new contractor safety orientation videos to comply with OSHA training regulations for office personnel and in cooperation with building services for their reconstruction contractors.</w:t>
      </w:r>
    </w:p>
    <w:p>
      <w:pPr>
        <w:pStyle w:val="Normal"/>
        <w:rPr/>
      </w:pPr>
      <w:r>
        <w:rPr/>
      </w:r>
    </w:p>
    <w:p>
      <w:pPr>
        <w:pStyle w:val="Normal"/>
        <w:ind w:start="360" w:end="0"/>
        <w:rPr/>
      </w:pPr>
      <w:r>
        <w:rPr/>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2001-01-03T16:31:00Z</dcterms:created>
  <dc:creator>Michael Terraso</dc:creator>
  <dc:description/>
  <dc:language>en-CA</dc:language>
  <cp:lastModifiedBy>Michael Terraso</cp:lastModifiedBy>
  <cp:lastPrinted>2001-01-03T12:21:00Z</cp:lastPrinted>
  <dcterms:modified xsi:type="dcterms:W3CDTF">2001-01-03T16:31:00Z</dcterms:modified>
  <cp:revision>2</cp:revision>
  <dc:subject/>
  <dc:title>Mike Terraso     January 3, 2001</dc:title>
</cp:coreProperties>
</file>