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firstLine="720" w:start="-720" w:end="0"/>
        <w:rPr>
          <w:sz w:val="23"/>
          <w:szCs w:val="23"/>
        </w:rPr>
      </w:pPr>
      <w:r>
        <w:rPr>
          <w:sz w:val="23"/>
          <w:szCs w:val="23"/>
        </w:rPr>
        <w:t>B.Gray 2000 Accomplishments</w:t>
      </w:r>
    </w:p>
    <w:p>
      <w:pPr>
        <w:pStyle w:val="Normal"/>
        <w:jc w:val="center"/>
        <w:rPr>
          <w:b/>
          <w:bCs/>
          <w:sz w:val="23"/>
          <w:szCs w:val="23"/>
          <w:u w:val="single"/>
        </w:rPr>
      </w:pPr>
      <w:r>
        <w:rPr>
          <w:b/>
          <w:bCs/>
          <w:sz w:val="23"/>
          <w:szCs w:val="23"/>
          <w:u w:val="single"/>
        </w:rPr>
      </w:r>
    </w:p>
    <w:p>
      <w:pPr>
        <w:pStyle w:val="Normal"/>
        <w:numPr>
          <w:ilvl w:val="0"/>
          <w:numId w:val="4"/>
        </w:numPr>
        <w:jc w:val="both"/>
        <w:rPr>
          <w:sz w:val="23"/>
          <w:szCs w:val="23"/>
          <w:u w:val="single"/>
        </w:rPr>
      </w:pPr>
      <w:r>
        <w:rPr>
          <w:b/>
          <w:bCs/>
          <w:sz w:val="23"/>
          <w:szCs w:val="23"/>
          <w:u w:val="single"/>
        </w:rPr>
        <w:t>PROJECT TRIPLE LUTZ</w:t>
      </w:r>
      <w:r>
        <w:rPr>
          <w:b/>
          <w:bCs/>
          <w:sz w:val="23"/>
          <w:szCs w:val="23"/>
        </w:rPr>
        <w:t xml:space="preserve"> – </w:t>
      </w:r>
      <w:r>
        <w:rPr>
          <w:sz w:val="23"/>
          <w:szCs w:val="23"/>
        </w:rPr>
        <w:t xml:space="preserve">Member of core team to structure the multi-faceted and complex disposition of </w:t>
      </w:r>
      <w:r>
        <w:rPr>
          <w:szCs w:val="23"/>
        </w:rPr>
        <w:t>Houston</w:t>
      </w:r>
      <w:r>
        <w:rPr>
          <w:sz w:val="23"/>
          <w:szCs w:val="23"/>
        </w:rPr>
        <w:t xml:space="preserve"> Pipeline Company and various ENA contracts and business functions including ENTEX.  Integral part of legal team (including Anne Koehler and V&amp;E) to represent HPL in simultaneous negotiations with two different potential acquirers, including legal oversight of massive due dilligence efforts.  </w:t>
      </w:r>
    </w:p>
    <w:p>
      <w:pPr>
        <w:pStyle w:val="Normal"/>
        <w:ind w:start="360" w:end="0"/>
        <w:jc w:val="both"/>
        <w:rPr>
          <w:sz w:val="23"/>
          <w:szCs w:val="23"/>
          <w:u w:val="single"/>
        </w:rPr>
      </w:pPr>
      <w:r>
        <w:rPr>
          <w:sz w:val="23"/>
          <w:szCs w:val="23"/>
          <w:u w:val="single"/>
        </w:rPr>
      </w:r>
    </w:p>
    <w:p>
      <w:pPr>
        <w:pStyle w:val="Normal"/>
        <w:numPr>
          <w:ilvl w:val="0"/>
          <w:numId w:val="4"/>
        </w:numPr>
        <w:jc w:val="both"/>
        <w:rPr>
          <w:sz w:val="23"/>
          <w:szCs w:val="23"/>
          <w:u w:val="single"/>
        </w:rPr>
      </w:pPr>
      <w:r>
        <w:rPr>
          <w:b/>
          <w:bCs/>
          <w:sz w:val="23"/>
          <w:szCs w:val="23"/>
          <w:u w:val="single"/>
        </w:rPr>
        <w:t>BRIDGELINE HOLDINGS TRANSACTION</w:t>
      </w:r>
      <w:r>
        <w:rPr>
          <w:sz w:val="23"/>
          <w:szCs w:val="23"/>
        </w:rPr>
        <w:t xml:space="preserve"> – Integral part of legal team (including Lance, Shonnie and Mark Watts of Locke Liddell) which created the Louisiana limited partnership between Enron and Texaco entities to operate the LRC and Bridgeline pipeline systems and Napoleonville and Sorrento storage facilities and a new trading/marketing company serving natural gas customers in Louisiana.  Drafted and negotiated all risk management policies and procedures for new marketing entity; Drafted and negotiated on behalf of ENA (Scott Neal – East Desk Head) the 20-year Firm Transport Agreement for a large segment of capacity on the combined systems; Participated in the drafting and negotiating of various other transaction documents and in risk analysis and mitigation; Post-closing – due to complexity of organizational structure, “initial” legal and credit work for new marketing entity has been handled by ENA/Texaco credit and legal. </w:t>
      </w:r>
    </w:p>
    <w:p>
      <w:pPr>
        <w:pStyle w:val="Normal"/>
        <w:jc w:val="both"/>
        <w:rPr>
          <w:sz w:val="23"/>
          <w:szCs w:val="23"/>
          <w:u w:val="single"/>
        </w:rPr>
      </w:pPr>
      <w:r>
        <w:rPr>
          <w:sz w:val="23"/>
          <w:szCs w:val="23"/>
          <w:u w:val="single"/>
        </w:rPr>
      </w:r>
    </w:p>
    <w:p>
      <w:pPr>
        <w:pStyle w:val="Normal"/>
        <w:numPr>
          <w:ilvl w:val="0"/>
          <w:numId w:val="4"/>
        </w:numPr>
        <w:jc w:val="both"/>
        <w:rPr>
          <w:sz w:val="23"/>
          <w:szCs w:val="23"/>
          <w:u w:val="single"/>
        </w:rPr>
      </w:pPr>
      <w:r>
        <w:rPr>
          <w:b/>
          <w:bCs/>
          <w:sz w:val="23"/>
          <w:szCs w:val="23"/>
          <w:u w:val="single"/>
        </w:rPr>
        <w:t>HPL – GENERALLY</w:t>
      </w:r>
      <w:r>
        <w:rPr>
          <w:sz w:val="23"/>
          <w:szCs w:val="23"/>
        </w:rPr>
        <w:t xml:space="preserve">  - </w:t>
      </w:r>
    </w:p>
    <w:p>
      <w:pPr>
        <w:pStyle w:val="Normal"/>
        <w:ind w:start="360" w:end="0"/>
        <w:jc w:val="both"/>
        <w:rPr>
          <w:sz w:val="23"/>
          <w:szCs w:val="23"/>
          <w:u w:val="single"/>
        </w:rPr>
      </w:pPr>
      <w:r>
        <w:rPr>
          <w:sz w:val="23"/>
          <w:szCs w:val="23"/>
          <w:u w:val="single"/>
        </w:rPr>
      </w:r>
    </w:p>
    <w:p>
      <w:pPr>
        <w:pStyle w:val="Normal"/>
        <w:numPr>
          <w:ilvl w:val="1"/>
          <w:numId w:val="4"/>
        </w:numPr>
        <w:jc w:val="both"/>
        <w:rPr>
          <w:i/>
          <w:i/>
          <w:iCs/>
          <w:sz w:val="23"/>
          <w:szCs w:val="23"/>
          <w:u w:val="single"/>
        </w:rPr>
      </w:pPr>
      <w:r>
        <w:rPr>
          <w:b/>
          <w:bCs/>
          <w:i/>
          <w:iCs/>
          <w:sz w:val="23"/>
          <w:szCs w:val="23"/>
        </w:rPr>
        <w:t>Code of Conduct</w:t>
      </w:r>
      <w:r>
        <w:rPr>
          <w:sz w:val="23"/>
          <w:szCs w:val="23"/>
        </w:rPr>
        <w:t>:  Continuous training of new leadership, new employees and existing employees – primary responsibility for responding to client inquiries;</w:t>
      </w:r>
    </w:p>
    <w:p>
      <w:pPr>
        <w:pStyle w:val="Normal"/>
        <w:numPr>
          <w:ilvl w:val="1"/>
          <w:numId w:val="4"/>
        </w:numPr>
        <w:jc w:val="both"/>
        <w:rPr>
          <w:i/>
          <w:i/>
          <w:iCs/>
          <w:sz w:val="23"/>
          <w:szCs w:val="23"/>
          <w:u w:val="single"/>
        </w:rPr>
      </w:pPr>
      <w:r>
        <w:rPr>
          <w:b/>
          <w:bCs/>
          <w:i/>
          <w:iCs/>
          <w:sz w:val="23"/>
          <w:szCs w:val="23"/>
        </w:rPr>
        <w:t>Operational Issues</w:t>
      </w:r>
      <w:r>
        <w:rPr>
          <w:sz w:val="23"/>
          <w:szCs w:val="23"/>
        </w:rPr>
        <w:t>:  Working through issues such as noxious pipeline leaks, CO</w:t>
      </w:r>
      <w:r>
        <w:rPr>
          <w:sz w:val="23"/>
          <w:szCs w:val="23"/>
          <w:vertAlign w:val="subscript"/>
        </w:rPr>
        <w:t xml:space="preserve">2 </w:t>
      </w:r>
      <w:r>
        <w:rPr>
          <w:sz w:val="23"/>
          <w:szCs w:val="23"/>
        </w:rPr>
        <w:t xml:space="preserve">treatment issues, negotiating with GPG regarding outsourcing issues and reduced legal fees associated therewith;  </w:t>
      </w:r>
    </w:p>
    <w:p>
      <w:pPr>
        <w:pStyle w:val="Normal"/>
        <w:numPr>
          <w:ilvl w:val="1"/>
          <w:numId w:val="4"/>
        </w:numPr>
        <w:jc w:val="both"/>
        <w:rPr>
          <w:i/>
          <w:i/>
          <w:iCs/>
          <w:sz w:val="23"/>
          <w:szCs w:val="23"/>
          <w:u w:val="single"/>
        </w:rPr>
      </w:pPr>
      <w:r>
        <w:rPr>
          <w:b/>
          <w:bCs/>
          <w:i/>
          <w:iCs/>
          <w:sz w:val="23"/>
          <w:szCs w:val="23"/>
        </w:rPr>
        <w:t>Wyoming Transactions</w:t>
      </w:r>
      <w:r>
        <w:rPr>
          <w:sz w:val="23"/>
          <w:szCs w:val="23"/>
        </w:rPr>
        <w:t xml:space="preserve">:  Working with Shonnie Daniel on the various gathering system projects and project 20/20 transaction issues. </w:t>
      </w:r>
    </w:p>
    <w:p>
      <w:pPr>
        <w:pStyle w:val="Normal"/>
        <w:numPr>
          <w:ilvl w:val="1"/>
          <w:numId w:val="4"/>
        </w:numPr>
        <w:jc w:val="both"/>
        <w:rPr>
          <w:i/>
          <w:i/>
          <w:iCs/>
          <w:sz w:val="23"/>
          <w:szCs w:val="23"/>
          <w:u w:val="single"/>
        </w:rPr>
      </w:pPr>
      <w:r>
        <w:rPr>
          <w:b/>
          <w:bCs/>
          <w:i/>
          <w:iCs/>
          <w:sz w:val="23"/>
          <w:szCs w:val="23"/>
        </w:rPr>
        <w:t>Monitoring/Supervising and/or Participating in other HPL transactions and businesses</w:t>
      </w:r>
      <w:r>
        <w:rPr>
          <w:sz w:val="23"/>
          <w:szCs w:val="23"/>
        </w:rPr>
        <w:t>:  Hanover Measurement Services (HMS) (Project Rock) as a general partner’s counsel, review and comment on various acquisition type transactions for adding “E-commerce” type capabilities to the measurement capabilities of HMS.  Work with S. Van Houser on structure of LIPA barge transaction; various storage transactions and electric transmission issues generally and PUHCA constraints and structuring TRANSCO’s; and work with other group members on natural gas purchase, sale, and storage and transportation transactions and ROW Issues.</w:t>
      </w:r>
    </w:p>
    <w:p>
      <w:pPr>
        <w:pStyle w:val="Normal"/>
        <w:jc w:val="both"/>
        <w:rPr>
          <w:i/>
          <w:i/>
          <w:iCs/>
          <w:sz w:val="23"/>
          <w:szCs w:val="23"/>
          <w:u w:val="single"/>
        </w:rPr>
      </w:pPr>
      <w:r>
        <w:rPr>
          <w:i/>
          <w:iCs/>
          <w:sz w:val="23"/>
          <w:szCs w:val="23"/>
          <w:u w:val="single"/>
        </w:rPr>
      </w:r>
    </w:p>
    <w:p>
      <w:pPr>
        <w:pStyle w:val="Heading1"/>
        <w:numPr>
          <w:ilvl w:val="0"/>
          <w:numId w:val="2"/>
        </w:numPr>
        <w:rPr>
          <w:i/>
          <w:i/>
          <w:iCs/>
          <w:sz w:val="23"/>
          <w:szCs w:val="23"/>
        </w:rPr>
      </w:pPr>
      <w:r>
        <w:rPr>
          <w:sz w:val="23"/>
          <w:szCs w:val="23"/>
        </w:rPr>
        <w:t>UNIFORM COMMERCIAL CODE</w:t>
      </w:r>
    </w:p>
    <w:p>
      <w:pPr>
        <w:pStyle w:val="Normal"/>
        <w:ind w:start="600" w:end="0"/>
        <w:jc w:val="both"/>
        <w:rPr>
          <w:i/>
          <w:i/>
          <w:iCs/>
          <w:sz w:val="23"/>
          <w:szCs w:val="23"/>
        </w:rPr>
      </w:pPr>
      <w:r>
        <w:rPr>
          <w:i/>
          <w:iCs/>
          <w:sz w:val="23"/>
          <w:szCs w:val="23"/>
        </w:rPr>
      </w:r>
    </w:p>
    <w:p>
      <w:pPr>
        <w:pStyle w:val="Normal"/>
        <w:numPr>
          <w:ilvl w:val="1"/>
          <w:numId w:val="2"/>
        </w:numPr>
        <w:jc w:val="both"/>
        <w:rPr>
          <w:i/>
          <w:i/>
          <w:iCs/>
          <w:sz w:val="23"/>
          <w:szCs w:val="23"/>
          <w:u w:val="single"/>
        </w:rPr>
      </w:pPr>
      <w:r>
        <w:rPr>
          <w:sz w:val="23"/>
          <w:szCs w:val="23"/>
        </w:rPr>
        <w:t>Monitor and participate in process to revise Article 2.</w:t>
      </w:r>
    </w:p>
    <w:p>
      <w:pPr>
        <w:pStyle w:val="Normal"/>
        <w:jc w:val="both"/>
        <w:rPr>
          <w:i/>
          <w:i/>
          <w:iCs/>
          <w:sz w:val="23"/>
          <w:szCs w:val="23"/>
          <w:u w:val="single"/>
        </w:rPr>
      </w:pPr>
      <w:r>
        <w:rPr>
          <w:i/>
          <w:iCs/>
          <w:sz w:val="23"/>
          <w:szCs w:val="23"/>
          <w:u w:val="single"/>
        </w:rPr>
      </w:r>
    </w:p>
    <w:p>
      <w:pPr>
        <w:pStyle w:val="Normal"/>
        <w:jc w:val="both"/>
        <w:rPr>
          <w:i/>
          <w:i/>
          <w:iCs/>
          <w:sz w:val="23"/>
          <w:szCs w:val="23"/>
          <w:u w:val="single"/>
        </w:rPr>
      </w:pPr>
      <w:r>
        <w:rPr>
          <w:i/>
          <w:iCs/>
          <w:sz w:val="23"/>
          <w:szCs w:val="23"/>
          <w:u w:val="single"/>
        </w:rPr>
      </w:r>
    </w:p>
    <w:p>
      <w:pPr>
        <w:pStyle w:val="Normal"/>
        <w:numPr>
          <w:ilvl w:val="0"/>
          <w:numId w:val="4"/>
        </w:numPr>
        <w:jc w:val="both"/>
        <w:rPr>
          <w:sz w:val="23"/>
          <w:szCs w:val="23"/>
          <w:u w:val="single"/>
        </w:rPr>
      </w:pPr>
      <w:r>
        <w:rPr>
          <w:b/>
          <w:bCs/>
          <w:sz w:val="23"/>
          <w:szCs w:val="23"/>
          <w:u w:val="single"/>
        </w:rPr>
        <w:t>IT OUTSOURCING</w:t>
      </w:r>
      <w:r>
        <w:rPr>
          <w:sz w:val="23"/>
          <w:szCs w:val="23"/>
        </w:rPr>
        <w:t xml:space="preserve">  - </w:t>
      </w:r>
    </w:p>
    <w:p>
      <w:pPr>
        <w:pStyle w:val="Normal"/>
        <w:jc w:val="both"/>
        <w:rPr>
          <w:sz w:val="23"/>
          <w:szCs w:val="23"/>
          <w:u w:val="single"/>
        </w:rPr>
      </w:pPr>
      <w:r>
        <w:rPr>
          <w:sz w:val="23"/>
          <w:szCs w:val="23"/>
          <w:u w:val="single"/>
        </w:rPr>
      </w:r>
    </w:p>
    <w:p>
      <w:pPr>
        <w:pStyle w:val="Normal"/>
        <w:ind w:start="360" w:end="0"/>
        <w:jc w:val="both"/>
        <w:rPr>
          <w:sz w:val="23"/>
          <w:szCs w:val="23"/>
          <w:u w:val="single"/>
        </w:rPr>
      </w:pPr>
      <w:r>
        <w:rPr>
          <w:sz w:val="23"/>
          <w:szCs w:val="23"/>
          <w:u w:val="single"/>
        </w:rPr>
      </w:r>
    </w:p>
    <w:p>
      <w:pPr>
        <w:pStyle w:val="Normal"/>
        <w:numPr>
          <w:ilvl w:val="0"/>
          <w:numId w:val="3"/>
        </w:numPr>
        <w:jc w:val="both"/>
        <w:rPr>
          <w:sz w:val="23"/>
          <w:szCs w:val="23"/>
          <w:u w:val="single"/>
        </w:rPr>
      </w:pPr>
      <w:r>
        <w:rPr>
          <w:sz w:val="23"/>
          <w:szCs w:val="23"/>
        </w:rPr>
        <w:t xml:space="preserve">Working with Phillip Bibi’s group that handles the various gas management systems and deal entry systems to create documents related to the outsourcing of  these types of applications to third parties.  </w:t>
      </w:r>
    </w:p>
    <w:sectPr>
      <w:type w:val="nextPage"/>
      <w:pgSz w:w="12240" w:h="15840"/>
      <w:pgMar w:left="576" w:right="864" w:gutter="0" w:header="0" w:top="1440" w:footer="0" w:bottom="12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1440"/>
        </w:tabs>
        <w:ind w:start="1440" w:hanging="36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sz w:val="20"/>
      <w:u w:val="single"/>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3">
    <w:name w:val="WW8Num4z3"/>
    <w:qFormat/>
    <w:rPr>
      <w:rFonts w:ascii="Symbol" w:hAnsi="Symbol" w:cs="Symbol"/>
    </w:rPr>
  </w:style>
  <w:style w:type="character" w:styleId="WW8Num4z4">
    <w:name w:val="WW8Num4z4"/>
    <w:qFormat/>
    <w:rPr>
      <w:rFonts w:ascii="Courier New" w:hAnsi="Courier New" w:cs="Courier New"/>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Wingdings" w:hAnsi="Wingdings" w:cs="Wingdings"/>
    </w:rPr>
  </w:style>
  <w:style w:type="character" w:styleId="WW8Num9z3">
    <w:name w:val="WW8Num9z3"/>
    <w:qFormat/>
    <w:rPr>
      <w:rFonts w:ascii="Symbol" w:hAnsi="Symbol" w:cs="Symbol"/>
    </w:rPr>
  </w:style>
  <w:style w:type="character" w:styleId="WW8Num9z4">
    <w:name w:val="WW8Num9z4"/>
    <w:qFormat/>
    <w:rPr>
      <w:rFonts w:ascii="Courier New" w:hAnsi="Courier New" w:cs="Courier New"/>
    </w:rPr>
  </w:style>
  <w:style w:type="character" w:styleId="WW8Num10z0">
    <w:name w:val="WW8Num10z0"/>
    <w:qFormat/>
    <w:rPr>
      <w:rFonts w:ascii="Wingdings" w:hAnsi="Wingdings" w:cs="Wingdings"/>
    </w:rPr>
  </w:style>
  <w:style w:type="character" w:styleId="WW8Num10z3">
    <w:name w:val="WW8Num10z3"/>
    <w:qFormat/>
    <w:rPr>
      <w:rFonts w:ascii="Symbol" w:hAnsi="Symbol" w:cs="Symbol"/>
    </w:rPr>
  </w:style>
  <w:style w:type="character" w:styleId="WW8Num10z4">
    <w:name w:val="WW8Num10z4"/>
    <w:qFormat/>
    <w:rPr>
      <w:rFonts w:ascii="Courier New" w:hAnsi="Courier New" w:cs="Courier New"/>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bCs/>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2000-05-31T14:09:00Z</dcterms:created>
  <dc:creator>bgray</dc:creator>
  <dc:description/>
  <dc:language>en-CA</dc:language>
  <cp:lastModifiedBy>bgray</cp:lastModifiedBy>
  <cp:lastPrinted>2000-12-05T10:46:00Z</cp:lastPrinted>
  <dcterms:modified xsi:type="dcterms:W3CDTF">2000-12-05T14:17:00Z</dcterms:modified>
  <cp:revision>8</cp:revision>
  <dc:subject/>
  <dc:title>B</dc:title>
</cp:coreProperties>
</file>