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b/>
          <w:sz w:val="20"/>
        </w:rPr>
      </w:pPr>
      <w:r>
        <w:rPr>
          <w:rFonts w:cs="Arial" w:ascii="Arial" w:hAnsi="Arial"/>
          <w:b/>
          <w:sz w:val="20"/>
        </w:rPr>
      </w:r>
    </w:p>
    <w:p>
      <w:pPr>
        <w:pStyle w:val="Normal"/>
        <w:jc w:val="center"/>
        <w:rPr>
          <w:rFonts w:ascii="Arial" w:hAnsi="Arial" w:cs="Arial"/>
          <w:sz w:val="20"/>
        </w:rPr>
      </w:pPr>
      <w:r>
        <w:rPr>
          <w:rFonts w:cs="Arial" w:ascii="Arial" w:hAnsi="Arial"/>
          <w:sz w:val="20"/>
        </w:rPr>
        <w:t>November 1, 2000</w:t>
      </w:r>
    </w:p>
    <w:p>
      <w:pPr>
        <w:pStyle w:val="Normal"/>
        <w:jc w:val="center"/>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Sithe/Independence Power Partners, L.P.</w:t>
      </w:r>
    </w:p>
    <w:p>
      <w:pPr>
        <w:pStyle w:val="Normal"/>
        <w:jc w:val="both"/>
        <w:rPr>
          <w:rFonts w:ascii="Arial" w:hAnsi="Arial" w:cs="Arial"/>
          <w:sz w:val="20"/>
        </w:rPr>
      </w:pPr>
      <w:r>
        <w:rPr>
          <w:rFonts w:cs="Arial" w:ascii="Arial" w:hAnsi="Arial"/>
          <w:sz w:val="20"/>
        </w:rPr>
        <w:t>Attn.:  Marty Rosenberg</w:t>
      </w:r>
    </w:p>
    <w:p>
      <w:pPr>
        <w:pStyle w:val="Normal"/>
        <w:jc w:val="both"/>
        <w:rPr/>
      </w:pPr>
      <w:r>
        <w:rPr>
          <w:rFonts w:cs="Arial" w:ascii="Arial" w:hAnsi="Arial"/>
          <w:sz w:val="20"/>
        </w:rPr>
        <w:t>335 Madison Avenue, 28</w:t>
      </w:r>
      <w:r>
        <w:rPr>
          <w:rFonts w:cs="Arial" w:ascii="Arial" w:hAnsi="Arial"/>
          <w:sz w:val="20"/>
          <w:vertAlign w:val="superscript"/>
        </w:rPr>
        <w:t>th</w:t>
      </w:r>
      <w:r>
        <w:rPr>
          <w:rFonts w:cs="Arial" w:ascii="Arial" w:hAnsi="Arial"/>
          <w:sz w:val="20"/>
        </w:rPr>
        <w:t xml:space="preserve"> Floor</w:t>
      </w:r>
    </w:p>
    <w:p>
      <w:pPr>
        <w:pStyle w:val="Normal"/>
        <w:jc w:val="both"/>
        <w:rPr>
          <w:rFonts w:ascii="Arial" w:hAnsi="Arial" w:cs="Arial"/>
          <w:sz w:val="20"/>
        </w:rPr>
      </w:pPr>
      <w:r>
        <w:rPr>
          <w:rFonts w:cs="Arial" w:ascii="Arial" w:hAnsi="Arial"/>
          <w:sz w:val="20"/>
        </w:rPr>
        <w:t>New York, New York 10017</w:t>
      </w:r>
    </w:p>
    <w:p>
      <w:pPr>
        <w:pStyle w:val="Normal"/>
        <w:jc w:val="center"/>
        <w:rPr>
          <w:rFonts w:ascii="Arial" w:hAnsi="Arial" w:cs="Arial"/>
          <w:sz w:val="20"/>
        </w:rPr>
      </w:pPr>
      <w:r>
        <w:rPr>
          <w:rFonts w:cs="Arial" w:ascii="Arial" w:hAnsi="Arial"/>
          <w:sz w:val="20"/>
        </w:rPr>
        <w:t>TRANSACTION AGREEMENT</w:t>
      </w:r>
    </w:p>
    <w:p>
      <w:pPr>
        <w:pStyle w:val="Normal"/>
        <w:jc w:val="both"/>
        <w:rPr>
          <w:rFonts w:ascii="Arial" w:hAnsi="Arial" w:cs="Arial"/>
          <w:sz w:val="20"/>
        </w:rPr>
      </w:pPr>
      <w:r>
        <w:rPr>
          <w:rFonts w:cs="Arial" w:ascii="Arial" w:hAnsi="Arial"/>
          <w:sz w:val="20"/>
        </w:rPr>
        <w:t>Dear Marty:</w:t>
      </w:r>
    </w:p>
    <w:p>
      <w:pPr>
        <w:pStyle w:val="Normal"/>
        <w:jc w:val="both"/>
        <w:rPr>
          <w:rFonts w:ascii="Arial" w:hAnsi="Arial" w:cs="Arial"/>
          <w:sz w:val="20"/>
        </w:rPr>
      </w:pPr>
      <w:r>
        <w:rPr>
          <w:rFonts w:cs="Arial" w:ascii="Arial" w:hAnsi="Arial"/>
          <w:sz w:val="20"/>
        </w:rPr>
      </w:r>
    </w:p>
    <w:p>
      <w:pPr>
        <w:pStyle w:val="Normal"/>
        <w:spacing w:before="0" w:after="120"/>
        <w:jc w:val="both"/>
        <w:rPr/>
      </w:pPr>
      <w:r>
        <w:rPr>
          <w:rFonts w:cs="Arial" w:ascii="Arial" w:hAnsi="Arial"/>
          <w:sz w:val="20"/>
        </w:rPr>
        <w:t>This Enfolio Confirmation shall confirm the Transaction agreed to on the date hereof and binding between Sithe/Independence Power Partners, L.P. ("</w:t>
      </w:r>
      <w:r>
        <w:rPr>
          <w:rFonts w:cs="Arial" w:ascii="Arial" w:hAnsi="Arial"/>
          <w:b/>
          <w:sz w:val="20"/>
        </w:rPr>
        <w:t>Customer</w:t>
      </w:r>
      <w:r>
        <w:rPr>
          <w:rFonts w:cs="Arial" w:ascii="Arial" w:hAnsi="Arial"/>
          <w:sz w:val="20"/>
        </w:rPr>
        <w:t>") and Enron North America Corp. ("</w:t>
      </w:r>
      <w:r>
        <w:rPr>
          <w:rFonts w:cs="Arial" w:ascii="Arial" w:hAnsi="Arial"/>
          <w:b/>
          <w:sz w:val="20"/>
        </w:rPr>
        <w:t>Company</w:t>
      </w:r>
      <w:r>
        <w:rPr>
          <w:rFonts w:cs="Arial" w:ascii="Arial" w:hAnsi="Arial"/>
          <w:sz w:val="20"/>
        </w:rPr>
        <w:t>") regarding the purchase and sale of Gas on the following terms.  Company to purchase and receive (</w:t>
      </w:r>
      <w:r>
        <w:rPr>
          <w:rFonts w:cs="Arial" w:ascii="Arial" w:hAnsi="Arial"/>
          <w:b/>
          <w:sz w:val="20"/>
        </w:rPr>
        <w:t>Buyer</w:t>
      </w:r>
      <w:r>
        <w:rPr>
          <w:rFonts w:cs="Arial" w:ascii="Arial" w:hAnsi="Arial"/>
          <w:sz w:val="20"/>
        </w:rPr>
        <w:t>) and Customer to sell and deliver (</w:t>
      </w:r>
      <w:r>
        <w:rPr>
          <w:rFonts w:cs="Arial" w:ascii="Arial" w:hAnsi="Arial"/>
          <w:b/>
          <w:sz w:val="20"/>
        </w:rPr>
        <w:t>Seller</w:t>
      </w:r>
      <w:r>
        <w:rPr>
          <w:rFonts w:cs="Arial" w:ascii="Arial" w:hAnsi="Arial"/>
          <w:sz w:val="20"/>
        </w:rPr>
        <w:t xml:space="preserve">).  Transaction No. </w:t>
      </w:r>
      <w:r>
        <w:rPr>
          <w:rFonts w:cs="Arial" w:ascii="Arial" w:hAnsi="Arial"/>
          <w:sz w:val="20"/>
          <w:u w:val="single"/>
        </w:rPr>
        <w:t>BDKW11off-peak</w:t>
      </w:r>
      <w:r>
        <w:rPr>
          <w:rFonts w:cs="Arial" w:ascii="Arial" w:hAnsi="Arial"/>
          <w:sz w:val="20"/>
        </w:rPr>
        <w:t>.</w:t>
      </w:r>
    </w:p>
    <w:p>
      <w:pPr>
        <w:pStyle w:val="Normal"/>
        <w:spacing w:before="0" w:after="120"/>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0"/>
              </w:rPr>
            </w:pPr>
            <w:r>
              <w:rPr>
                <w:rFonts w:cs="Arial" w:ascii="Arial" w:hAnsi="Arial"/>
                <w:b/>
                <w:sz w:val="20"/>
              </w:rPr>
              <w:t>TIER OF GAS:</w:t>
            </w:r>
          </w:p>
        </w:tc>
        <w:tc>
          <w:tcPr>
            <w:tcW w:w="6588" w:type="dxa"/>
            <w:tcBorders/>
          </w:tcPr>
          <w:p>
            <w:pPr>
              <w:pStyle w:val="Normal"/>
              <w:jc w:val="both"/>
              <w:rPr>
                <w:rFonts w:ascii="Arial" w:hAnsi="Arial" w:cs="Arial"/>
                <w:sz w:val="20"/>
              </w:rPr>
            </w:pPr>
            <w:r>
              <w:rPr>
                <w:rFonts w:cs="Arial" w:ascii="Arial" w:hAnsi="Arial"/>
                <w:sz w:val="20"/>
              </w:rPr>
              <w:t>Tier 3 – Firm Gas</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DCQ (IN MMBTUS):</w:t>
            </w:r>
          </w:p>
        </w:tc>
        <w:tc>
          <w:tcPr>
            <w:tcW w:w="6588" w:type="dxa"/>
            <w:tcBorders/>
          </w:tcPr>
          <w:p>
            <w:pPr>
              <w:pStyle w:val="Normal"/>
              <w:jc w:val="both"/>
              <w:rPr>
                <w:rFonts w:ascii="Arial" w:hAnsi="Arial" w:cs="Arial"/>
                <w:sz w:val="20"/>
              </w:rPr>
            </w:pPr>
            <w:r>
              <w:rPr>
                <w:rFonts w:cs="Arial" w:ascii="Arial" w:hAnsi="Arial"/>
                <w:sz w:val="20"/>
              </w:rPr>
              <w:t xml:space="preserve">1a)  ________ MMBtu/day for each weekend day and/or holiday during the period November __, 2000 through November 7, 2000. </w:t>
            </w:r>
          </w:p>
          <w:p>
            <w:pPr>
              <w:pStyle w:val="Normal"/>
              <w:jc w:val="both"/>
              <w:rPr>
                <w:rFonts w:ascii="Arial" w:hAnsi="Arial" w:cs="Arial"/>
                <w:sz w:val="20"/>
              </w:rPr>
            </w:pPr>
            <w:r>
              <w:rPr>
                <w:rFonts w:cs="Arial" w:ascii="Arial" w:hAnsi="Arial"/>
                <w:sz w:val="20"/>
              </w:rPr>
              <w:t xml:space="preserve">1b)  ________ MMBtu/day for each weekday during the period November __, 2000 through November 7, 2000. </w:t>
            </w:r>
          </w:p>
          <w:p>
            <w:pPr>
              <w:pStyle w:val="Normal"/>
              <w:jc w:val="both"/>
              <w:rPr>
                <w:rFonts w:ascii="Arial" w:hAnsi="Arial" w:cs="Arial"/>
                <w:sz w:val="20"/>
              </w:rPr>
            </w:pPr>
            <w:r>
              <w:rPr>
                <w:rFonts w:cs="Arial" w:ascii="Arial" w:hAnsi="Arial"/>
                <w:sz w:val="20"/>
              </w:rPr>
              <w:t>2a)  ________ MMBtu/day for each weekend day and/or holiday during the period November 8, 2000 through November 30, 2000.</w:t>
            </w:r>
          </w:p>
          <w:p>
            <w:pPr>
              <w:pStyle w:val="Normal"/>
              <w:jc w:val="both"/>
              <w:rPr>
                <w:rFonts w:ascii="Arial" w:hAnsi="Arial" w:cs="Arial"/>
                <w:sz w:val="20"/>
              </w:rPr>
            </w:pPr>
            <w:r>
              <w:rPr>
                <w:rFonts w:cs="Arial" w:ascii="Arial" w:hAnsi="Arial"/>
                <w:sz w:val="20"/>
              </w:rPr>
              <w:t>2b)  ________ MMBtu/day for each weekday during the period November 8, 2000 through November 30,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DELIVERY POINT(S):</w:t>
            </w:r>
          </w:p>
        </w:tc>
        <w:tc>
          <w:tcPr>
            <w:tcW w:w="6588" w:type="dxa"/>
            <w:tcBorders/>
          </w:tcPr>
          <w:p>
            <w:pPr>
              <w:pStyle w:val="Normal"/>
              <w:jc w:val="both"/>
              <w:rPr>
                <w:rFonts w:ascii="Arial" w:hAnsi="Arial" w:cs="Arial"/>
                <w:sz w:val="20"/>
              </w:rPr>
            </w:pPr>
            <w:r>
              <w:rPr>
                <w:rFonts w:cs="Arial" w:ascii="Arial" w:hAnsi="Arial"/>
                <w:sz w:val="20"/>
              </w:rPr>
              <w:t>ANR LA Headstation (_______ MMBtu/day for each weekend day and/or holiday and _______ MMBtu/day for each weekday for the period November ___, 2000 through November 7, 2000) and ANR OK Headstation (________MMBtu/day for each weekend day and/or holiday and _______ MMBtu/day for each weekday for the period November ___, 2000 through November 7, 2000 and _______ MMBtu/day for each weekend day and/or holiday and _______ MMBtu/day for each weekday for the period November 7, 2000 through November 30,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 xml:space="preserve">PERIOD OF DELIVERY:  </w:t>
            </w:r>
          </w:p>
        </w:tc>
        <w:tc>
          <w:tcPr>
            <w:tcW w:w="6588" w:type="dxa"/>
            <w:tcBorders/>
          </w:tcPr>
          <w:p>
            <w:pPr>
              <w:pStyle w:val="Normal"/>
              <w:jc w:val="both"/>
              <w:rPr>
                <w:rFonts w:ascii="Arial" w:hAnsi="Arial" w:cs="Arial"/>
                <w:sz w:val="20"/>
              </w:rPr>
            </w:pPr>
            <w:r>
              <w:rPr>
                <w:rFonts w:cs="Arial" w:ascii="Arial" w:hAnsi="Arial"/>
                <w:sz w:val="20"/>
              </w:rPr>
              <w:t>November ____, 2000 through November 30, 2000.</w:t>
            </w:r>
          </w:p>
        </w:tc>
      </w:tr>
      <w:tr>
        <w:trPr/>
        <w:tc>
          <w:tcPr>
            <w:tcW w:w="4428" w:type="dxa"/>
            <w:tcBorders/>
          </w:tcPr>
          <w:p>
            <w:pPr>
              <w:pStyle w:val="Normal"/>
              <w:snapToGrid w:val="false"/>
              <w:jc w:val="both"/>
              <w:rPr>
                <w:rFonts w:ascii="Arial" w:hAnsi="Arial" w:cs="Arial"/>
                <w:sz w:val="20"/>
              </w:rPr>
            </w:pPr>
            <w:r>
              <w:rPr>
                <w:rFonts w:cs="Arial" w:ascii="Arial" w:hAnsi="Arial"/>
                <w:sz w:val="20"/>
              </w:rPr>
            </w:r>
          </w:p>
        </w:tc>
        <w:tc>
          <w:tcPr>
            <w:tcW w:w="6588" w:type="dxa"/>
            <w:tcBorders/>
          </w:tcPr>
          <w:p>
            <w:pPr>
              <w:pStyle w:val="Normal"/>
              <w:snapToGrid w:val="false"/>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CONTRACT PRICE (PER MMBTU):</w:t>
            </w:r>
          </w:p>
        </w:tc>
        <w:tc>
          <w:tcPr>
            <w:tcW w:w="6588" w:type="dxa"/>
            <w:tcBorders/>
          </w:tcPr>
          <w:p>
            <w:pPr>
              <w:pStyle w:val="BodyText"/>
              <w:rPr>
                <w:sz w:val="20"/>
              </w:rPr>
            </w:pPr>
            <w:r>
              <w:rPr>
                <w:sz w:val="20"/>
              </w:rPr>
              <w:t>Value/Volume, where the Volume is equal to the sum of [(a) (_________MMBtu/day for each weekend day and/or holiday) X # of such days in Period of Delivery from November __, 2000 through November 7, 2000; and (b) (_______ MMBtu/day) X # of weekdays in Period of Delivery from November __, 2000 through November 7, 2000; and (c) (________MMBtu/day for each weekend day and/or holiday) X # of such days in Period of Delivery from November 8, 2000 through November 30, 2000, and (d) (________ MMBtu/day) X # of weekdays in Period of Delivery from November 7, 2000 through November 30, 2000], and the Value is equal to the sum of Part (a) and Part (b):</w:t>
            </w:r>
          </w:p>
          <w:p>
            <w:pPr>
              <w:pStyle w:val="Normal"/>
              <w:ind w:hanging="972" w:start="972" w:end="0"/>
              <w:jc w:val="both"/>
              <w:rPr>
                <w:rFonts w:ascii="Arial" w:hAnsi="Arial" w:cs="Arial"/>
                <w:sz w:val="20"/>
              </w:rPr>
            </w:pPr>
            <w:r>
              <w:rPr>
                <w:rFonts w:cs="Arial" w:ascii="Arial" w:hAnsi="Arial"/>
                <w:sz w:val="20"/>
              </w:rPr>
              <w:t>Part (a):</w:t>
              <w:tab/>
              <w:t>The value obtained by the formula</w:t>
            </w:r>
          </w:p>
          <w:p>
            <w:pPr>
              <w:pStyle w:val="Normal"/>
              <w:jc w:val="both"/>
              <w:rPr>
                <w:rFonts w:ascii="Arial" w:hAnsi="Arial" w:cs="Arial"/>
                <w:sz w:val="20"/>
              </w:rPr>
            </w:pPr>
            <w:r>
              <w:rPr>
                <w:rFonts w:eastAsia="Arial" w:cs="Arial" w:ascii="Arial" w:hAnsi="Arial"/>
                <w:sz w:val="20"/>
              </w:rPr>
              <w:t xml:space="preserve">                       </w:t>
            </w:r>
            <w:r>
              <w:rPr>
                <w:rFonts w:cs="Arial" w:ascii="Arial" w:hAnsi="Arial"/>
                <w:sz w:val="20"/>
              </w:rPr>
              <w:t>[(A  X B) + (C X D) + E].</w:t>
            </w:r>
          </w:p>
          <w:p>
            <w:pPr>
              <w:pStyle w:val="Normal"/>
              <w:tabs>
                <w:tab w:val="clear" w:pos="720"/>
                <w:tab w:val="left" w:pos="792" w:leader="none"/>
              </w:tabs>
              <w:ind w:hanging="792" w:start="792" w:end="0"/>
              <w:jc w:val="both"/>
              <w:rPr/>
            </w:pPr>
            <w:r>
              <w:rPr>
                <w:rFonts w:cs="Arial" w:ascii="Arial" w:hAnsi="Arial"/>
                <w:sz w:val="20"/>
              </w:rPr>
              <w:t xml:space="preserve">Part (b): The value, if positive, obtained by the formula [50% X (D minus the value obtained in Part (a) above)]; provided, however, if the value obtained by the such formula is negative, such value shall be carried forward to Transaction No. </w:t>
            </w:r>
            <w:r>
              <w:rPr>
                <w:rFonts w:cs="Arial" w:ascii="Arial" w:hAnsi="Arial"/>
                <w:sz w:val="20"/>
                <w:u w:val="single"/>
              </w:rPr>
              <w:t>BDKW12off-peak</w:t>
            </w:r>
            <w:r>
              <w:rPr>
                <w:rFonts w:cs="Arial" w:ascii="Arial" w:hAnsi="Arial"/>
                <w:sz w:val="20"/>
              </w:rPr>
              <w:t xml:space="preserve">;provided, however, if the parties do not enter into Transaction No. </w:t>
            </w:r>
            <w:r>
              <w:rPr>
                <w:rFonts w:cs="Arial" w:ascii="Arial" w:hAnsi="Arial"/>
                <w:sz w:val="20"/>
                <w:u w:val="single"/>
              </w:rPr>
              <w:t>BDWK12off-peak</w:t>
            </w:r>
            <w:r>
              <w:rPr>
                <w:rFonts w:cs="Arial" w:ascii="Arial" w:hAnsi="Arial"/>
                <w:sz w:val="20"/>
              </w:rPr>
              <w:t>, such value shall be carried forward to Part (c) below.</w:t>
            </w:r>
          </w:p>
          <w:p>
            <w:pPr>
              <w:pStyle w:val="Normal"/>
              <w:ind w:hanging="900" w:start="792" w:end="0"/>
              <w:jc w:val="both"/>
              <w:rPr/>
            </w:pPr>
            <w:r>
              <w:rPr>
                <w:rFonts w:eastAsia="Arial" w:cs="Arial" w:ascii="Arial" w:hAnsi="Arial"/>
                <w:sz w:val="20"/>
              </w:rPr>
              <w:t xml:space="preserve">  </w:t>
            </w:r>
            <w:r>
              <w:rPr>
                <w:rFonts w:cs="Arial" w:ascii="Arial" w:hAnsi="Arial"/>
                <w:sz w:val="20"/>
              </w:rPr>
              <w:t xml:space="preserve">Part (c):The lesser of (x) the negative of the sum of the negative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and </w:t>
            </w:r>
            <w:r>
              <w:rPr>
                <w:rFonts w:cs="Arial" w:ascii="Arial" w:hAnsi="Arial"/>
                <w:sz w:val="20"/>
                <w:u w:val="single"/>
              </w:rPr>
              <w:t>BDKW12on-peak</w:t>
            </w:r>
            <w:r>
              <w:rPr>
                <w:rFonts w:cs="Arial" w:ascii="Arial" w:hAnsi="Arial"/>
                <w:sz w:val="20"/>
              </w:rPr>
              <w:t xml:space="preserve"> and (y) the sum of the positive values, if any, determined under Part (b) of Transaction Nos. </w:t>
            </w:r>
            <w:r>
              <w:rPr>
                <w:rFonts w:cs="Arial" w:ascii="Arial" w:hAnsi="Arial"/>
                <w:sz w:val="20"/>
                <w:u w:val="single"/>
              </w:rPr>
              <w:t>BDKW11off-peak</w:t>
            </w:r>
            <w:r>
              <w:rPr>
                <w:rFonts w:cs="Arial" w:ascii="Arial" w:hAnsi="Arial"/>
                <w:sz w:val="20"/>
              </w:rPr>
              <w:t xml:space="preserve">, </w:t>
            </w:r>
            <w:r>
              <w:rPr>
                <w:rFonts w:cs="Arial" w:ascii="Arial" w:hAnsi="Arial"/>
                <w:sz w:val="20"/>
                <w:u w:val="single"/>
              </w:rPr>
              <w:t>BDKW11on-peak</w:t>
            </w:r>
            <w:r>
              <w:rPr>
                <w:rFonts w:cs="Arial" w:ascii="Arial" w:hAnsi="Arial"/>
                <w:sz w:val="20"/>
              </w:rPr>
              <w:t xml:space="preserve">,  and </w:t>
            </w:r>
            <w:r>
              <w:rPr>
                <w:rFonts w:cs="Arial" w:ascii="Arial" w:hAnsi="Arial"/>
                <w:sz w:val="20"/>
                <w:u w:val="single"/>
              </w:rPr>
              <w:t>BDKW12on-peak</w:t>
            </w:r>
            <w:r>
              <w:rPr>
                <w:rFonts w:cs="Arial" w:ascii="Arial" w:hAnsi="Arial"/>
                <w:sz w:val="20"/>
              </w:rPr>
              <w:t>.  The amounts determined under Part (c) of the above-referenced Transaction Agreements shall be invoiced by Company on or before January 10, 2001 and shall be paid by Customer on or before January 20</w:t>
            </w:r>
            <w:r>
              <w:rPr>
                <w:rFonts w:cs="Arial" w:ascii="Arial" w:hAnsi="Arial"/>
                <w:sz w:val="20"/>
                <w:vertAlign w:val="superscript"/>
              </w:rPr>
              <w:t>th</w:t>
            </w:r>
            <w:r>
              <w:rPr>
                <w:rFonts w:cs="Arial" w:ascii="Arial" w:hAnsi="Arial"/>
                <w:sz w:val="20"/>
              </w:rPr>
              <w:t>, 2001.  If any of the above referenced Transaction Agreements are not entered into by the parties, such Transaction Agreement shall not be considered in the determination of this Part (c).</w:t>
            </w:r>
          </w:p>
          <w:p>
            <w:pPr>
              <w:pStyle w:val="Normal"/>
              <w:tabs>
                <w:tab w:val="clear" w:pos="720"/>
                <w:tab w:val="left" w:pos="972" w:leader="none"/>
              </w:tabs>
              <w:ind w:hanging="972" w:start="972" w:end="0"/>
              <w:jc w:val="both"/>
              <w:rPr>
                <w:rFonts w:ascii="Arial" w:hAnsi="Arial" w:cs="Arial"/>
                <w:color w:val="FF0000"/>
                <w:sz w:val="20"/>
              </w:rPr>
            </w:pPr>
            <w:r>
              <w:rPr>
                <w:rFonts w:cs="Arial" w:ascii="Arial" w:hAnsi="Arial"/>
                <w:color w:val="FF0000"/>
                <w:sz w:val="20"/>
              </w:rPr>
            </w:r>
          </w:p>
        </w:tc>
      </w:tr>
      <w:tr>
        <w:trPr/>
        <w:tc>
          <w:tcPr>
            <w:tcW w:w="4428" w:type="dxa"/>
            <w:tcBorders/>
          </w:tcPr>
          <w:p>
            <w:pPr>
              <w:pStyle w:val="Normal"/>
              <w:snapToGrid w:val="false"/>
              <w:spacing w:before="240" w:after="0"/>
              <w:jc w:val="both"/>
              <w:rPr>
                <w:rFonts w:ascii="Arial" w:hAnsi="Arial" w:cs="Arial"/>
                <w:color w:val="FF0000"/>
                <w:sz w:val="20"/>
              </w:rPr>
            </w:pPr>
            <w:r>
              <w:rPr>
                <w:rFonts w:cs="Arial" w:ascii="Arial" w:hAnsi="Arial"/>
                <w:color w:val="FF0000"/>
                <w:sz w:val="20"/>
              </w:rPr>
            </w:r>
          </w:p>
        </w:tc>
        <w:tc>
          <w:tcPr>
            <w:tcW w:w="6588" w:type="dxa"/>
            <w:tcBorders/>
          </w:tcPr>
          <w:p>
            <w:pPr>
              <w:pStyle w:val="Normal"/>
              <w:numPr>
                <w:ilvl w:val="0"/>
                <w:numId w:val="3"/>
              </w:numPr>
              <w:jc w:val="both"/>
              <w:rPr>
                <w:rFonts w:ascii="Arial" w:hAnsi="Arial" w:cs="Arial"/>
                <w:sz w:val="20"/>
              </w:rPr>
            </w:pPr>
            <w:r>
              <w:rPr>
                <w:rFonts w:cs="Arial" w:ascii="Arial" w:hAnsi="Arial"/>
                <w:sz w:val="20"/>
              </w:rPr>
              <w:t>Decrease in MWhs delivered to NY ISO due to shutdown of  (i) (____ MW) X (24 hrs/day) X (# of holidays and weekend days in Period of Delivery from November __, 2000 through November 7, 2000) plus (ii) (____ MW) X (8 hrs/day) X (# of weekdays in the Period of Delivery from November __, 2000 through November 7, 2000).</w:t>
            </w:r>
          </w:p>
          <w:p>
            <w:pPr>
              <w:pStyle w:val="Normal"/>
              <w:numPr>
                <w:ilvl w:val="0"/>
                <w:numId w:val="3"/>
              </w:numPr>
              <w:jc w:val="both"/>
              <w:rPr>
                <w:rFonts w:ascii="Arial" w:hAnsi="Arial" w:cs="Arial"/>
                <w:sz w:val="20"/>
              </w:rPr>
            </w:pPr>
            <w:r>
              <w:rPr>
                <w:rFonts w:cs="Arial" w:ascii="Arial" w:hAnsi="Arial"/>
                <w:sz w:val="20"/>
              </w:rPr>
              <w:t>Hourly average of the locational based marginal price(s) ($/MWh) in the NY ISO day ahead market for the relevant off-peak hours at the Independence bus bar.</w:t>
            </w:r>
          </w:p>
          <w:p>
            <w:pPr>
              <w:pStyle w:val="Normal"/>
              <w:numPr>
                <w:ilvl w:val="0"/>
                <w:numId w:val="3"/>
              </w:numPr>
              <w:jc w:val="both"/>
              <w:rPr>
                <w:rFonts w:ascii="Arial" w:hAnsi="Arial" w:cs="Arial"/>
                <w:sz w:val="20"/>
              </w:rPr>
            </w:pPr>
            <w:r>
              <w:rPr>
                <w:rFonts w:cs="Arial" w:ascii="Arial" w:hAnsi="Arial"/>
                <w:sz w:val="20"/>
              </w:rPr>
              <w:t>Decrease in MWhs delivered to NY ISO due to shutdown of  (i) (____ MW) X (24 hrs/day) X (# of holidays and weekend days in Period of Delivery from November 8, 2000 through November 30, 2000) plus (ii) (____ MW) X (8 hrs/day) X (# of weekdays in the Period of Delivery from November 8, 2000 through November 30, 2000).</w:t>
            </w:r>
          </w:p>
          <w:p>
            <w:pPr>
              <w:pStyle w:val="Normal"/>
              <w:numPr>
                <w:ilvl w:val="0"/>
                <w:numId w:val="3"/>
              </w:numPr>
              <w:jc w:val="both"/>
              <w:rPr>
                <w:rFonts w:ascii="Arial" w:hAnsi="Arial" w:cs="Arial"/>
                <w:sz w:val="20"/>
              </w:rPr>
            </w:pPr>
            <w:r>
              <w:rPr>
                <w:rFonts w:cs="Arial" w:ascii="Arial" w:hAnsi="Arial"/>
                <w:sz w:val="20"/>
              </w:rPr>
              <w:t>Hourly average of the locational based marginal price(s) ($/MWh) in the NY ISO day ahead market for the relevant off-peak hours at the Independence bus bar.</w:t>
            </w:r>
          </w:p>
          <w:p>
            <w:pPr>
              <w:pStyle w:val="Normal"/>
              <w:numPr>
                <w:ilvl w:val="0"/>
                <w:numId w:val="3"/>
              </w:numPr>
              <w:jc w:val="both"/>
              <w:rPr>
                <w:rFonts w:ascii="Arial" w:hAnsi="Arial" w:cs="Arial"/>
                <w:sz w:val="20"/>
              </w:rPr>
            </w:pPr>
            <w:r>
              <w:rPr>
                <w:rFonts w:cs="Arial" w:ascii="Arial" w:hAnsi="Arial"/>
                <w:sz w:val="20"/>
              </w:rPr>
              <w:t>Taxes (including income taxes in Louisiana and/or Oklahoma) which would not have been incurred by Customer and/or its affiliates but for this transaction and other reasonable transaction costs incurred by Customer and/or its affiliates that are related to this transaction.  Customer and Company shall work together to minimize such taxes.</w:t>
            </w:r>
          </w:p>
          <w:p>
            <w:pPr>
              <w:pStyle w:val="Normal"/>
              <w:numPr>
                <w:ilvl w:val="0"/>
                <w:numId w:val="3"/>
              </w:numPr>
              <w:jc w:val="both"/>
              <w:rPr>
                <w:rFonts w:ascii="Arial" w:hAnsi="Arial" w:cs="Arial"/>
                <w:sz w:val="20"/>
              </w:rPr>
            </w:pPr>
            <w:r>
              <w:rPr>
                <w:rFonts w:cs="Arial" w:ascii="Arial" w:hAnsi="Arial"/>
                <w:sz w:val="20"/>
              </w:rPr>
              <w:t>The sum of (a) $_____ per MMBtu X ________ MMBtu/day for each weekend day and/or holiday X # of such days in the period November __, 2000 through November 7, 2000, (b)  $_____ per MMBtu X ________ MMBtu/day X # of weekdays in the period November __, 2000 through November 7, 2000, (c) $_____ per MMBtu X ________ MMBtu/day for each weekend day and/or holiday X # of such days in the period November 8, 2000 through November 30, 2000, and (d)  $_____ per MMBtu X ________ MMBtu/day X # of weekdays in the period November 8, 2000 through November 30, 2000.</w:t>
            </w:r>
          </w:p>
          <w:p>
            <w:pPr>
              <w:pStyle w:val="Normal"/>
              <w:ind w:hanging="432" w:start="432" w:end="0"/>
              <w:jc w:val="both"/>
              <w:rPr>
                <w:rFonts w:ascii="Arial" w:hAnsi="Arial" w:cs="Arial"/>
                <w:b/>
                <w:sz w:val="20"/>
              </w:rPr>
            </w:pPr>
            <w:r>
              <w:rPr>
                <w:rFonts w:cs="Arial" w:ascii="Arial" w:hAnsi="Arial"/>
                <w:b/>
                <w:sz w:val="20"/>
              </w:rPr>
              <w:t>G.</w:t>
              <w:tab/>
            </w:r>
            <w:r>
              <w:rPr>
                <w:rFonts w:cs="Arial" w:ascii="Arial" w:hAnsi="Arial"/>
                <w:sz w:val="20"/>
              </w:rPr>
              <w:t>Any balancing charges and taxes associated with leveling the daily volumes available for sale, or the uneven on-peak and off-peak hourly volumes within the day relating to this transaction that may be incurred by Company.</w:t>
            </w:r>
          </w:p>
        </w:tc>
      </w:tr>
      <w:tr>
        <w:trPr/>
        <w:tc>
          <w:tcPr>
            <w:tcW w:w="4428" w:type="dxa"/>
            <w:tcBorders/>
          </w:tcPr>
          <w:p>
            <w:pPr>
              <w:pStyle w:val="Normal"/>
              <w:snapToGrid w:val="false"/>
              <w:jc w:val="both"/>
              <w:rPr>
                <w:rFonts w:ascii="Arial" w:hAnsi="Arial" w:cs="Arial"/>
                <w:b/>
                <w:sz w:val="20"/>
              </w:rPr>
            </w:pPr>
            <w:r>
              <w:rPr>
                <w:rFonts w:cs="Arial" w:ascii="Arial" w:hAnsi="Arial"/>
                <w:b/>
                <w:sz w:val="20"/>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0"/>
              </w:rPr>
            </w:pPr>
            <w:r>
              <w:rPr>
                <w:rFonts w:cs="Arial" w:ascii="Arial" w:hAnsi="Arial"/>
                <w:sz w:val="20"/>
              </w:rPr>
            </w:r>
          </w:p>
        </w:tc>
      </w:tr>
      <w:tr>
        <w:trPr/>
        <w:tc>
          <w:tcPr>
            <w:tcW w:w="4428" w:type="dxa"/>
            <w:tcBorders/>
          </w:tcPr>
          <w:p>
            <w:pPr>
              <w:pStyle w:val="Normal"/>
              <w:jc w:val="both"/>
              <w:rPr>
                <w:rFonts w:ascii="Arial" w:hAnsi="Arial" w:cs="Arial"/>
                <w:b/>
                <w:sz w:val="20"/>
              </w:rPr>
            </w:pPr>
            <w:r>
              <w:rPr>
                <w:rFonts w:cs="Arial" w:ascii="Arial" w:hAnsi="Arial"/>
                <w:b/>
                <w:sz w:val="20"/>
              </w:rPr>
              <w:t>OTHER:</w:t>
            </w:r>
          </w:p>
        </w:tc>
        <w:tc>
          <w:tcPr>
            <w:tcW w:w="6588" w:type="dxa"/>
            <w:tcBorders/>
          </w:tcPr>
          <w:p>
            <w:pPr>
              <w:pStyle w:val="Normal"/>
              <w:numPr>
                <w:ilvl w:val="0"/>
                <w:numId w:val="2"/>
              </w:numPr>
              <w:tabs>
                <w:tab w:val="clear" w:pos="720"/>
                <w:tab w:val="left" w:pos="0" w:leader="none"/>
              </w:tabs>
              <w:ind w:hanging="432" w:start="432" w:end="0"/>
              <w:jc w:val="both"/>
              <w:rPr>
                <w:rFonts w:ascii="Arial" w:hAnsi="Arial" w:cs="Arial"/>
                <w:sz w:val="20"/>
              </w:rPr>
            </w:pPr>
            <w:r>
              <w:rPr>
                <w:rFonts w:cs="Arial" w:ascii="Arial" w:hAnsi="Arial"/>
                <w:sz w:val="20"/>
              </w:rPr>
              <w:t>The term “weekday” as used herein shall mean Monday through Friday except for holidays, and the term “weekend day” shall mean Saturday and Sunday, and the term “holiday” shall mean North American Electric Reliability Councis, NERC, defined holidays.</w:t>
            </w:r>
          </w:p>
          <w:p>
            <w:pPr>
              <w:pStyle w:val="Normal"/>
              <w:tabs>
                <w:tab w:val="clear" w:pos="720"/>
                <w:tab w:val="left" w:pos="432" w:leader="none"/>
              </w:tabs>
              <w:ind w:hanging="360" w:start="432" w:end="0"/>
              <w:jc w:val="both"/>
              <w:rPr/>
            </w:pPr>
            <w:r>
              <w:rPr>
                <w:rFonts w:cs="Arial" w:ascii="Arial" w:hAnsi="Arial"/>
                <w:sz w:val="20"/>
              </w:rPr>
              <w:t>2.</w:t>
              <w:tab/>
              <w:t>On or before the 10</w:t>
            </w:r>
            <w:r>
              <w:rPr>
                <w:rFonts w:cs="Arial" w:ascii="Arial" w:hAnsi="Arial"/>
                <w:sz w:val="20"/>
                <w:vertAlign w:val="superscript"/>
              </w:rPr>
              <w:t>th</w:t>
            </w:r>
            <w:r>
              <w:rPr>
                <w:rFonts w:cs="Arial" w:ascii="Arial" w:hAnsi="Arial"/>
                <w:sz w:val="20"/>
              </w:rPr>
              <w:t xml:space="preserve"> day of each calendar month (or, if not a business day, the succeeding business day), Customer shall submit an invoice, with relevant backup, to Company for amounts due hereunder for the preceding calendar month.  Company shall pay such amounts on or before the twentieth (20</w:t>
            </w:r>
            <w:r>
              <w:rPr>
                <w:rFonts w:cs="Arial" w:ascii="Arial" w:hAnsi="Arial"/>
                <w:sz w:val="20"/>
                <w:vertAlign w:val="superscript"/>
              </w:rPr>
              <w:t>th</w:t>
            </w:r>
            <w:r>
              <w:rPr>
                <w:rFonts w:cs="Arial" w:ascii="Arial" w:hAnsi="Arial"/>
                <w:sz w:val="20"/>
              </w:rPr>
              <w:t>) day of such calendar month (or, if not a business day, the succeeding business day), provided, however, that if the invoice is delivered after the 10</w:t>
            </w:r>
            <w:r>
              <w:rPr>
                <w:rFonts w:cs="Arial" w:ascii="Arial" w:hAnsi="Arial"/>
                <w:sz w:val="20"/>
                <w:vertAlign w:val="superscript"/>
              </w:rPr>
              <w:t>th</w:t>
            </w:r>
            <w:r>
              <w:rPr>
                <w:rFonts w:cs="Arial" w:ascii="Arial" w:hAnsi="Arial"/>
                <w:sz w:val="20"/>
              </w:rPr>
              <w:t xml:space="preserve"> day of a calendar month (or, if not a business day, the succeeding business day), the day for payment shall be the 10</w:t>
            </w:r>
            <w:r>
              <w:rPr>
                <w:rFonts w:cs="Arial" w:ascii="Arial" w:hAnsi="Arial"/>
                <w:sz w:val="20"/>
                <w:vertAlign w:val="superscript"/>
              </w:rPr>
              <w:t>th</w:t>
            </w:r>
            <w:r>
              <w:rPr>
                <w:rFonts w:cs="Arial" w:ascii="Arial" w:hAnsi="Arial"/>
                <w:sz w:val="20"/>
              </w:rPr>
              <w:t xml:space="preserve"> day following the day on which the invoice is delivered (or, if not a business day, the succeeding business day).</w:t>
            </w:r>
          </w:p>
          <w:p>
            <w:pPr>
              <w:pStyle w:val="Normal"/>
              <w:tabs>
                <w:tab w:val="clear" w:pos="720"/>
                <w:tab w:val="left" w:pos="0" w:leader="none"/>
              </w:tabs>
              <w:jc w:val="both"/>
              <w:rPr>
                <w:rFonts w:ascii="Arial" w:hAnsi="Arial" w:cs="Arial"/>
                <w:sz w:val="20"/>
              </w:rPr>
            </w:pPr>
            <w:r>
              <w:rPr>
                <w:rFonts w:cs="Arial" w:ascii="Arial" w:hAnsi="Arial"/>
                <w:sz w:val="20"/>
              </w:rPr>
            </w:r>
          </w:p>
        </w:tc>
      </w:tr>
    </w:tbl>
    <w:p>
      <w:pPr>
        <w:pStyle w:val="Normal"/>
        <w:tabs>
          <w:tab w:val="clear" w:pos="720"/>
          <w:tab w:val="left" w:pos="10800" w:leader="none"/>
        </w:tabs>
        <w:jc w:val="both"/>
        <w:rPr/>
      </w:pPr>
      <w:r>
        <w:rPr>
          <w:rFonts w:cs="Arial" w:ascii="Arial" w:hAnsi="Arial"/>
          <w:sz w:val="20"/>
        </w:rPr>
        <w:t xml:space="preserve">Customer and Company acknowledge and agree that to the extent that the terms of this Transaction are inconsistent with the terms of the ENFOLIO® MASTER "Spot" PURCHASE/SALE AGREEMENT, the terms of this Transaction shall control.  Customer and Company further acknowledge and agree that the following provisions of the ENFOLIO® MASTER "Spot" PURCHASE/SALE AGREEMENT shall not apply to the transactions contemplated above: (a) last sentence of Section 2.2, (b) Section 3.4, (c) Section 4.3, and (d) all of the matters described in Appendix I under the heading </w:t>
      </w:r>
      <w:r>
        <w:rPr>
          <w:rFonts w:cs="Arial" w:ascii="Arial" w:hAnsi="Arial"/>
          <w:sz w:val="20"/>
          <w:u w:val="single"/>
        </w:rPr>
        <w:t>Financial Matters, Billing, Invoice Date, Charges and Payment</w:t>
      </w:r>
      <w:r>
        <w:rPr>
          <w:rFonts w:cs="Arial" w:ascii="Arial" w:hAnsi="Arial"/>
          <w:sz w:val="20"/>
        </w:rPr>
        <w:t>, except for the 8</w:t>
      </w:r>
      <w:r>
        <w:rPr>
          <w:rFonts w:cs="Arial" w:ascii="Arial" w:hAnsi="Arial"/>
          <w:sz w:val="20"/>
          <w:vertAlign w:val="superscript"/>
        </w:rPr>
        <w:t>th</w:t>
      </w:r>
      <w:r>
        <w:rPr>
          <w:rFonts w:cs="Arial" w:ascii="Arial" w:hAnsi="Arial"/>
          <w:sz w:val="20"/>
        </w:rPr>
        <w:t xml:space="preserve"> sentence thereof relating to the applicability of interest on late payments.</w:t>
      </w:r>
    </w:p>
    <w:p>
      <w:pPr>
        <w:pStyle w:val="BodyText"/>
        <w:spacing w:before="120" w:after="120"/>
        <w:rPr>
          <w:sz w:val="20"/>
        </w:rPr>
      </w:pPr>
      <w:r>
        <w:rPr>
          <w:sz w:val="20"/>
        </w:rPr>
        <w:t>This Enfolio Confirmation is being provided pursuant to and in accordance with the ENFOLIO®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rFonts w:ascii="Arial" w:hAnsi="Arial" w:cs="Arial"/>
          <w:sz w:val="20"/>
        </w:rPr>
      </w:pPr>
      <w:r>
        <w:rPr>
          <w:rFonts w:cs="Arial" w:ascii="Arial" w:hAnsi="Arial"/>
          <w:sz w:val="20"/>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0"/>
        </w:rPr>
      </w:pPr>
      <w:r>
        <w:rPr>
          <w:rFonts w:cs="Arial" w:ascii="Arial" w:hAnsi="Arial"/>
          <w:sz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SITHE/INDEPENDENCE POWER PARTNERS, L.P.</w:t>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0"/>
              </w:rPr>
            </w:pPr>
            <w:r>
              <w:rPr>
                <w:rFonts w:cs="Arial" w:ascii="Arial" w:hAnsi="Arial"/>
                <w:sz w:val="20"/>
              </w:rPr>
            </w:r>
          </w:p>
        </w:tc>
        <w:tc>
          <w:tcPr>
            <w:tcW w:w="5508" w:type="dxa"/>
            <w:tcBorders/>
          </w:tcPr>
          <w:p>
            <w:pPr>
              <w:pStyle w:val="Normal"/>
              <w:tabs>
                <w:tab w:val="clear" w:pos="720"/>
                <w:tab w:val="left" w:pos="5022" w:leader="none"/>
              </w:tabs>
              <w:snapToGrid w:val="false"/>
              <w:rPr>
                <w:rFonts w:ascii="Arial" w:hAnsi="Arial" w:cs="Arial"/>
                <w:sz w:val="20"/>
              </w:rPr>
            </w:pPr>
            <w:r>
              <w:rPr>
                <w:rFonts w:cs="Arial" w:ascii="Arial" w:hAnsi="Arial"/>
                <w:sz w:val="20"/>
              </w:rPr>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By: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By: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Name: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Name: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Title: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Title: </w:t>
            </w:r>
            <w:r>
              <w:rPr>
                <w:rFonts w:cs="Arial" w:ascii="Arial" w:hAnsi="Arial"/>
                <w:sz w:val="20"/>
                <w:u w:val="single"/>
              </w:rPr>
              <w:tab/>
            </w:r>
          </w:p>
        </w:tc>
      </w:tr>
      <w:tr>
        <w:trPr/>
        <w:tc>
          <w:tcPr>
            <w:tcW w:w="5508" w:type="dxa"/>
            <w:tcBorders/>
          </w:tcPr>
          <w:p>
            <w:pPr>
              <w:pStyle w:val="Normal"/>
              <w:tabs>
                <w:tab w:val="clear" w:pos="720"/>
                <w:tab w:val="left" w:pos="5040" w:leader="none"/>
              </w:tabs>
              <w:rPr>
                <w:rFonts w:ascii="Arial" w:hAnsi="Arial" w:cs="Arial"/>
                <w:sz w:val="20"/>
              </w:rPr>
            </w:pPr>
            <w:r>
              <w:rPr>
                <w:rFonts w:cs="Arial" w:ascii="Arial" w:hAnsi="Arial"/>
                <w:sz w:val="20"/>
              </w:rPr>
              <w:t xml:space="preserve">Date: </w:t>
            </w:r>
            <w:r>
              <w:rPr>
                <w:rFonts w:cs="Arial" w:ascii="Arial" w:hAnsi="Arial"/>
                <w:sz w:val="20"/>
                <w:u w:val="single"/>
              </w:rPr>
              <w:tab/>
            </w:r>
          </w:p>
        </w:tc>
        <w:tc>
          <w:tcPr>
            <w:tcW w:w="5508" w:type="dxa"/>
            <w:tcBorders/>
          </w:tcPr>
          <w:p>
            <w:pPr>
              <w:pStyle w:val="Normal"/>
              <w:tabs>
                <w:tab w:val="clear" w:pos="720"/>
                <w:tab w:val="left" w:pos="5022" w:leader="none"/>
              </w:tabs>
              <w:rPr>
                <w:rFonts w:ascii="Arial" w:hAnsi="Arial" w:cs="Arial"/>
                <w:sz w:val="20"/>
              </w:rPr>
            </w:pPr>
            <w:r>
              <w:rPr>
                <w:rFonts w:cs="Arial" w:ascii="Arial" w:hAnsi="Arial"/>
                <w:sz w:val="20"/>
              </w:rPr>
              <w:t xml:space="preserve">Date: </w:t>
            </w:r>
            <w:r>
              <w:rPr>
                <w:rFonts w:cs="Arial" w:ascii="Arial" w:hAnsi="Arial"/>
                <w:sz w:val="20"/>
                <w:u w:val="single"/>
              </w:rPr>
              <w:tab/>
            </w:r>
          </w:p>
        </w:tc>
      </w:tr>
    </w:tbl>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sz w:val="20"/>
        </w:rPr>
      </w:pPr>
      <w:r>
        <w:rPr>
          <w:sz w:val="20"/>
        </w:rPr>
        <w:drawing>
          <wp:inline distT="0" distB="0" distL="0" distR="0">
            <wp:extent cx="635" cy="6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0000" t="-100000" r="-100000" b="-100000"/>
                    <a:stretch>
                      <a:fillRect/>
                    </a:stretch>
                  </pic:blipFill>
                  <pic:spPr bwMode="auto">
                    <a:xfrm>
                      <a:off x="0" y="0"/>
                      <a:ext cx="635" cy="635"/>
                    </a:xfrm>
                    <a:prstGeom prst="rect">
                      <a:avLst/>
                    </a:prstGeom>
                    <a:noFill/>
                  </pic:spPr>
                </pic:pic>
              </a:graphicData>
            </a:graphic>
          </wp:inline>
        </w:drawing>
      </w:r>
    </w:p>
    <w:p>
      <w:pPr>
        <w:pStyle w:val="Normal"/>
        <w:rPr>
          <w:sz w:val="20"/>
        </w:rPr>
      </w:pPr>
      <w:r>
        <w:rPr>
          <w:sz w:val="20"/>
        </w:rPr>
      </w:r>
    </w:p>
    <w:sectPr>
      <w:headerReference w:type="default" r:id="rId3"/>
      <w:headerReference w:type="first" r:id="rId4"/>
      <w:footerReference w:type="default" r:id="rId5"/>
      <w:footerReference w:type="first" r:id="rId6"/>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/mnt/main-storage/datasets/enron-docs/doc/2000_BDKW11off_peak_crfm.doc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/mnt/main-storage/datasets/enron-docs/doc/2000_BDKW11off_peak_crfm.doc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November 1,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3</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80"/>
        </w:tabs>
        <w:ind w:start="780" w:hanging="420"/>
      </w:pPr>
      <w:rPr/>
    </w:lvl>
  </w:abstractNum>
  <w:abstractNum w:abstractNumId="3">
    <w:lvl w:ilvl="0">
      <w:start w:val="1"/>
      <w:numFmt w:val="upperLetter"/>
      <w:lvlText w:val="%1."/>
      <w:lvlJc w:val="start"/>
      <w:pPr>
        <w:tabs>
          <w:tab w:val="num" w:pos="435"/>
        </w:tabs>
        <w:ind w:start="435" w:hanging="435"/>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color w:val="auto"/>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WW8Num5z0">
    <w:name w:val="WW8Num5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2000-11-01T15:20:00Z</dcterms:created>
  <dc:creator>dhyvl</dc:creator>
  <dc:description/>
  <dc:language>en-CA</dc:language>
  <cp:lastModifiedBy>dhyvl</cp:lastModifiedBy>
  <cp:lastPrinted>2000-10-05T10:01:00Z</cp:lastPrinted>
  <dcterms:modified xsi:type="dcterms:W3CDTF">2000-11-01T17:50:00Z</dcterms:modified>
  <cp:revision>7</cp:revision>
  <dc:subject/>
  <dc:title>September 16, 2000</dc:title>
</cp:coreProperties>
</file>