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2000 Accomplishments</w:t>
      </w:r>
    </w:p>
    <w:p>
      <w:pPr>
        <w:pStyle w:val="Normal"/>
        <w:jc w:val="center"/>
        <w:rPr>
          <w:sz w:val="24"/>
        </w:rPr>
      </w:pPr>
      <w:r>
        <w:rPr>
          <w:sz w:val="24"/>
        </w:rPr>
      </w:r>
    </w:p>
    <w:p>
      <w:pPr>
        <w:pStyle w:val="Normal"/>
        <w:rPr/>
      </w:pPr>
      <w:r>
        <w:rPr>
          <w:b/>
          <w:sz w:val="24"/>
        </w:rPr>
        <w:t>Commercial opportunities</w:t>
      </w:r>
      <w:r>
        <w:rPr>
          <w:sz w:val="24"/>
        </w:rPr>
        <w:t xml:space="preserve"> – </w:t>
      </w:r>
    </w:p>
    <w:p>
      <w:pPr>
        <w:pStyle w:val="Normal"/>
        <w:rPr>
          <w:sz w:val="24"/>
        </w:rPr>
      </w:pPr>
      <w:r>
        <w:rPr>
          <w:sz w:val="24"/>
        </w:rPr>
      </w:r>
    </w:p>
    <w:p>
      <w:pPr>
        <w:pStyle w:val="Normal"/>
        <w:numPr>
          <w:ilvl w:val="0"/>
          <w:numId w:val="20"/>
        </w:numPr>
        <w:rPr>
          <w:sz w:val="24"/>
        </w:rPr>
      </w:pPr>
      <w:r>
        <w:rPr>
          <w:sz w:val="24"/>
        </w:rPr>
        <w:t>Told mid-marketers and originators when Chelan PUD jumped out of BPA rate case and said they weren’t going to be buying much power from BPA.</w:t>
      </w:r>
    </w:p>
    <w:p>
      <w:pPr>
        <w:pStyle w:val="Normal"/>
        <w:numPr>
          <w:ilvl w:val="0"/>
          <w:numId w:val="20"/>
        </w:numPr>
        <w:rPr>
          <w:sz w:val="24"/>
        </w:rPr>
      </w:pPr>
      <w:r>
        <w:rPr>
          <w:sz w:val="24"/>
        </w:rPr>
        <w:t>Told mid-marketers about Grant County PUD RFP, got copy of RFP</w:t>
      </w:r>
    </w:p>
    <w:p>
      <w:pPr>
        <w:pStyle w:val="Normal"/>
        <w:numPr>
          <w:ilvl w:val="0"/>
          <w:numId w:val="20"/>
        </w:numPr>
        <w:rPr>
          <w:sz w:val="24"/>
        </w:rPr>
      </w:pPr>
      <w:r>
        <w:rPr>
          <w:sz w:val="24"/>
        </w:rPr>
        <w:t>Told desk about California internet firm (Internet_Crossroads.com) auctioning municipal transmission capacity.</w:t>
      </w:r>
    </w:p>
    <w:p>
      <w:pPr>
        <w:pStyle w:val="Normal"/>
        <w:rPr>
          <w:sz w:val="24"/>
        </w:rPr>
      </w:pPr>
      <w:r>
        <w:rPr>
          <w:sz w:val="24"/>
        </w:rPr>
      </w:r>
    </w:p>
    <w:p>
      <w:pPr>
        <w:pStyle w:val="Heading2"/>
        <w:ind w:hanging="0" w:start="0"/>
        <w:rPr/>
      </w:pPr>
      <w:r>
        <w:rPr/>
        <w:t>Risk Management For Existing Transactions</w:t>
      </w:r>
    </w:p>
    <w:p>
      <w:pPr>
        <w:pStyle w:val="Normal"/>
        <w:rPr/>
      </w:pPr>
      <w:r>
        <w:rPr/>
      </w:r>
    </w:p>
    <w:p>
      <w:pPr>
        <w:pStyle w:val="Normal"/>
        <w:numPr>
          <w:ilvl w:val="0"/>
          <w:numId w:val="2"/>
        </w:numPr>
        <w:rPr>
          <w:sz w:val="24"/>
        </w:rPr>
      </w:pPr>
      <w:r>
        <w:rPr>
          <w:sz w:val="24"/>
        </w:rPr>
        <w:t>Cal ISO – Filed protest of ISO’s Amendment No 29 –</w:t>
      </w:r>
    </w:p>
    <w:p>
      <w:pPr>
        <w:pStyle w:val="Normal"/>
        <w:numPr>
          <w:ilvl w:val="0"/>
          <w:numId w:val="2"/>
        </w:numPr>
        <w:rPr>
          <w:sz w:val="24"/>
        </w:rPr>
      </w:pPr>
      <w:r>
        <w:rPr>
          <w:sz w:val="24"/>
        </w:rPr>
        <w:t>CMUA complaint for cost based rates – Filed protest</w:t>
      </w:r>
    </w:p>
    <w:p>
      <w:pPr>
        <w:pStyle w:val="Normal"/>
        <w:numPr>
          <w:ilvl w:val="0"/>
          <w:numId w:val="2"/>
        </w:numPr>
        <w:rPr>
          <w:sz w:val="24"/>
        </w:rPr>
      </w:pPr>
      <w:r>
        <w:rPr>
          <w:sz w:val="24"/>
        </w:rPr>
        <w:t>FERC Investigation of California</w:t>
      </w:r>
    </w:p>
    <w:p>
      <w:pPr>
        <w:pStyle w:val="Normal"/>
        <w:numPr>
          <w:ilvl w:val="0"/>
          <w:numId w:val="2"/>
        </w:numPr>
        <w:tabs>
          <w:tab w:val="left" w:pos="720" w:leader="none"/>
        </w:tabs>
        <w:ind w:hanging="360" w:start="720" w:end="0"/>
        <w:rPr>
          <w:sz w:val="24"/>
        </w:rPr>
      </w:pPr>
      <w:r>
        <w:rPr>
          <w:sz w:val="24"/>
        </w:rPr>
        <w:t xml:space="preserve">Working with consultant, developed and presented information to FERC (on behalf of Enron and the rest of the power marketers in EPSA) about the causes of the high prices in California and suggested solutions to the market problems, resulting in the FERC’s November 1 order.  Working with Tim Belden to answer FERC’s follow-up questions.  </w:t>
      </w:r>
    </w:p>
    <w:p>
      <w:pPr>
        <w:pStyle w:val="Normal"/>
        <w:numPr>
          <w:ilvl w:val="0"/>
          <w:numId w:val="2"/>
        </w:numPr>
        <w:tabs>
          <w:tab w:val="left" w:pos="720" w:leader="none"/>
        </w:tabs>
        <w:ind w:hanging="360" w:start="720" w:end="0"/>
        <w:rPr>
          <w:sz w:val="24"/>
        </w:rPr>
      </w:pPr>
      <w:r>
        <w:rPr>
          <w:sz w:val="24"/>
        </w:rPr>
        <w:t>Responded to FERC’s data requests.</w:t>
      </w:r>
    </w:p>
    <w:p>
      <w:pPr>
        <w:pStyle w:val="Normal"/>
        <w:numPr>
          <w:ilvl w:val="0"/>
          <w:numId w:val="2"/>
        </w:numPr>
        <w:tabs>
          <w:tab w:val="left" w:pos="720" w:leader="none"/>
        </w:tabs>
        <w:ind w:hanging="360" w:start="720" w:end="0"/>
        <w:rPr>
          <w:sz w:val="24"/>
        </w:rPr>
      </w:pPr>
      <w:r>
        <w:rPr>
          <w:sz w:val="24"/>
        </w:rPr>
        <w:t>Worked with consultant to develop White Paper</w:t>
      </w:r>
    </w:p>
    <w:p>
      <w:pPr>
        <w:pStyle w:val="Normal"/>
        <w:numPr>
          <w:ilvl w:val="0"/>
          <w:numId w:val="2"/>
        </w:numPr>
        <w:tabs>
          <w:tab w:val="left" w:pos="720" w:leader="none"/>
        </w:tabs>
        <w:ind w:hanging="360" w:start="720" w:end="0"/>
        <w:rPr>
          <w:sz w:val="24"/>
        </w:rPr>
      </w:pPr>
      <w:r>
        <w:rPr>
          <w:sz w:val="24"/>
        </w:rPr>
        <w:t>Successfully opposed SDG&amp;E’s petition for $250 price cap</w:t>
      </w:r>
    </w:p>
    <w:p>
      <w:pPr>
        <w:pStyle w:val="Normal"/>
        <w:numPr>
          <w:ilvl w:val="0"/>
          <w:numId w:val="2"/>
        </w:numPr>
        <w:tabs>
          <w:tab w:val="left" w:pos="720" w:leader="none"/>
        </w:tabs>
        <w:ind w:hanging="360" w:start="720" w:end="0"/>
        <w:rPr>
          <w:sz w:val="24"/>
        </w:rPr>
      </w:pPr>
      <w:r>
        <w:rPr>
          <w:sz w:val="24"/>
        </w:rPr>
        <w:t>Provided supporting affidavit to support our winning motion asking the FERC to stay the ISO’s load based price cap.</w:t>
      </w:r>
    </w:p>
    <w:p>
      <w:pPr>
        <w:pStyle w:val="Normal"/>
        <w:numPr>
          <w:ilvl w:val="0"/>
          <w:numId w:val="2"/>
        </w:numPr>
        <w:tabs>
          <w:tab w:val="left" w:pos="720" w:leader="none"/>
        </w:tabs>
        <w:ind w:hanging="360" w:start="720" w:end="0"/>
        <w:rPr>
          <w:sz w:val="24"/>
        </w:rPr>
      </w:pPr>
      <w:r>
        <w:rPr>
          <w:sz w:val="24"/>
        </w:rPr>
        <w:t>Worked on a team to answer Chairman Hoecker’s questions</w:t>
      </w:r>
    </w:p>
    <w:p>
      <w:pPr>
        <w:pStyle w:val="Normal"/>
        <w:numPr>
          <w:ilvl w:val="0"/>
          <w:numId w:val="2"/>
        </w:numPr>
        <w:tabs>
          <w:tab w:val="left" w:pos="720" w:leader="none"/>
        </w:tabs>
        <w:ind w:hanging="360" w:start="720" w:end="0"/>
        <w:rPr>
          <w:sz w:val="24"/>
        </w:rPr>
      </w:pPr>
      <w:r>
        <w:rPr>
          <w:sz w:val="24"/>
        </w:rPr>
        <w:t xml:space="preserve">Kept EES and ENA legal informed </w:t>
      </w:r>
    </w:p>
    <w:p>
      <w:pPr>
        <w:pStyle w:val="Normal"/>
        <w:numPr>
          <w:ilvl w:val="0"/>
          <w:numId w:val="2"/>
        </w:numPr>
        <w:rPr>
          <w:sz w:val="24"/>
        </w:rPr>
      </w:pPr>
      <w:r>
        <w:rPr>
          <w:color w:val="000000"/>
          <w:sz w:val="24"/>
          <w:lang w:eastAsia="en-US"/>
        </w:rPr>
        <w:t>Cal PX investigation of SIlver Peak - Lead (and provided extensive) regulatory support leading to successful outcome -  savings to Enron $5 million.  Also saved dollars by internalizing ENA's use of outside counsel.</w:t>
      </w:r>
    </w:p>
    <w:p>
      <w:pPr>
        <w:pStyle w:val="Normal"/>
        <w:numPr>
          <w:ilvl w:val="0"/>
          <w:numId w:val="17"/>
        </w:numPr>
        <w:rPr>
          <w:sz w:val="24"/>
        </w:rPr>
      </w:pPr>
      <w:r>
        <w:rPr>
          <w:sz w:val="24"/>
        </w:rPr>
        <w:t>Provided regulatory support for ENA legal concerning CPUC subpoena</w:t>
      </w:r>
    </w:p>
    <w:p>
      <w:pPr>
        <w:pStyle w:val="Normal"/>
        <w:numPr>
          <w:ilvl w:val="0"/>
          <w:numId w:val="17"/>
        </w:numPr>
        <w:rPr>
          <w:sz w:val="24"/>
        </w:rPr>
      </w:pPr>
      <w:r>
        <w:rPr>
          <w:sz w:val="24"/>
        </w:rPr>
        <w:t>Sierra Pacific OATT – Succeeded in protest of proposal to zero out schedules of generators that don’t run for the entire hour.</w:t>
      </w:r>
    </w:p>
    <w:p>
      <w:pPr>
        <w:pStyle w:val="Normal"/>
        <w:rPr>
          <w:sz w:val="24"/>
        </w:rPr>
      </w:pPr>
      <w:r>
        <w:rPr>
          <w:sz w:val="24"/>
        </w:rPr>
      </w:r>
    </w:p>
    <w:p>
      <w:pPr>
        <w:pStyle w:val="Heading2"/>
        <w:ind w:hanging="0" w:start="0"/>
        <w:rPr/>
      </w:pPr>
      <w:r>
        <w:rPr/>
        <w:t>Support Developing Transactions</w:t>
      </w:r>
    </w:p>
    <w:tbl>
      <w:tblPr>
        <w:tblW w:w="2958" w:type="dxa"/>
        <w:jc w:val="start"/>
        <w:tblInd w:w="0" w:type="dxa"/>
        <w:tblLayout w:type="fixed"/>
        <w:tblCellMar>
          <w:top w:w="0" w:type="dxa"/>
          <w:start w:w="108" w:type="dxa"/>
          <w:bottom w:w="0" w:type="dxa"/>
          <w:end w:w="108" w:type="dxa"/>
        </w:tblCellMar>
      </w:tblPr>
      <w:tblGrid>
        <w:gridCol w:w="2958"/>
      </w:tblGrid>
      <w:tr>
        <w:trPr>
          <w:trHeight w:val="465" w:hRule="exact"/>
        </w:trPr>
        <w:tc>
          <w:tcPr>
            <w:tcW w:w="2958" w:type="dxa"/>
            <w:tcBorders/>
          </w:tcPr>
          <w:p>
            <w:pPr>
              <w:pStyle w:val="Normal"/>
              <w:snapToGrid w:val="false"/>
              <w:rPr>
                <w:sz w:val="24"/>
                <w:lang w:eastAsia="en-US"/>
              </w:rPr>
            </w:pPr>
            <w:r>
              <w:rPr>
                <w:sz w:val="24"/>
                <w:lang w:eastAsia="en-US"/>
              </w:rPr>
            </w:r>
          </w:p>
        </w:tc>
      </w:tr>
    </w:tbl>
    <w:p>
      <w:pPr>
        <w:pStyle w:val="Normal"/>
        <w:numPr>
          <w:ilvl w:val="0"/>
          <w:numId w:val="14"/>
        </w:numPr>
        <w:spacing w:lineRule="atLeast" w:line="240"/>
        <w:rPr>
          <w:sz w:val="24"/>
        </w:rPr>
      </w:pPr>
      <w:r>
        <w:rPr>
          <w:sz w:val="24"/>
        </w:rPr>
        <w:t xml:space="preserve">Coyote Springs 2 – </w:t>
      </w:r>
    </w:p>
    <w:p>
      <w:pPr>
        <w:pStyle w:val="Normal"/>
        <w:numPr>
          <w:ilvl w:val="0"/>
          <w:numId w:val="14"/>
        </w:numPr>
        <w:tabs>
          <w:tab w:val="left" w:pos="720" w:leader="none"/>
        </w:tabs>
        <w:spacing w:lineRule="atLeast" w:line="240"/>
        <w:ind w:hanging="360" w:start="720" w:end="0"/>
        <w:rPr/>
      </w:pPr>
      <w:r>
        <w:rPr>
          <w:sz w:val="24"/>
        </w:rPr>
        <w:t xml:space="preserve">Got first in the queue (before Starbuck project) to get transmission for Got transmission agreement for CS2. </w:t>
      </w:r>
    </w:p>
    <w:p>
      <w:pPr>
        <w:pStyle w:val="Normal"/>
        <w:numPr>
          <w:ilvl w:val="0"/>
          <w:numId w:val="14"/>
        </w:numPr>
        <w:tabs>
          <w:tab w:val="left" w:pos="720" w:leader="none"/>
        </w:tabs>
        <w:spacing w:lineRule="atLeast" w:line="240"/>
        <w:ind w:hanging="360" w:start="720" w:end="0"/>
        <w:rPr>
          <w:sz w:val="24"/>
        </w:rPr>
      </w:pPr>
      <w:r>
        <w:rPr>
          <w:sz w:val="24"/>
        </w:rPr>
        <w:t>I saved the project the cost of 280 MW of transmission for 20 years at the tariff rate of $1.243/kw-mo (and increasing), by negotiating a longer contract review period when the buyer suggested they did not want to buy the transmission I had been requested to acquire for the project.</w:t>
      </w:r>
    </w:p>
    <w:p>
      <w:pPr>
        <w:pStyle w:val="Normal"/>
        <w:numPr>
          <w:ilvl w:val="0"/>
          <w:numId w:val="6"/>
        </w:numPr>
        <w:rPr>
          <w:sz w:val="24"/>
        </w:rPr>
      </w:pPr>
      <w:r>
        <w:rPr>
          <w:sz w:val="24"/>
        </w:rPr>
        <w:t xml:space="preserve">LV Cogen (Projects Elvis and Priscilla) – </w:t>
      </w:r>
    </w:p>
    <w:p>
      <w:pPr>
        <w:pStyle w:val="Normal"/>
        <w:numPr>
          <w:ilvl w:val="0"/>
          <w:numId w:val="10"/>
        </w:numPr>
        <w:tabs>
          <w:tab w:val="clear" w:pos="720"/>
          <w:tab w:val="left" w:pos="1080" w:leader="none"/>
        </w:tabs>
        <w:ind w:hanging="360" w:start="1080" w:end="0"/>
        <w:rPr>
          <w:sz w:val="24"/>
        </w:rPr>
      </w:pPr>
      <w:r>
        <w:rPr>
          <w:sz w:val="24"/>
        </w:rPr>
        <w:t xml:space="preserve">got in the transmission and interconnection queue and assisting origination, getting origination to obtain a 1 year contract instead of long term contract, to get free option to roll-over for a longer term, </w:t>
      </w:r>
    </w:p>
    <w:p>
      <w:pPr>
        <w:pStyle w:val="Normal"/>
        <w:numPr>
          <w:ilvl w:val="0"/>
          <w:numId w:val="10"/>
        </w:numPr>
        <w:tabs>
          <w:tab w:val="clear" w:pos="720"/>
          <w:tab w:val="left" w:pos="1080" w:leader="none"/>
        </w:tabs>
        <w:ind w:hanging="360" w:start="1080" w:end="0"/>
        <w:rPr>
          <w:sz w:val="24"/>
        </w:rPr>
      </w:pPr>
      <w:r>
        <w:rPr>
          <w:sz w:val="24"/>
        </w:rPr>
        <w:t>explained to AES why in negotiations concerning a sale of the project.</w:t>
      </w:r>
    </w:p>
    <w:p>
      <w:pPr>
        <w:pStyle w:val="Normal"/>
        <w:numPr>
          <w:ilvl w:val="0"/>
          <w:numId w:val="23"/>
        </w:numPr>
        <w:rPr>
          <w:sz w:val="24"/>
        </w:rPr>
      </w:pPr>
      <w:r>
        <w:rPr>
          <w:sz w:val="24"/>
        </w:rPr>
        <w:t xml:space="preserve">Project Columbia – </w:t>
      </w:r>
    </w:p>
    <w:p>
      <w:pPr>
        <w:pStyle w:val="Normal"/>
        <w:numPr>
          <w:ilvl w:val="0"/>
          <w:numId w:val="13"/>
        </w:numPr>
        <w:tabs>
          <w:tab w:val="left" w:pos="720" w:leader="none"/>
        </w:tabs>
        <w:ind w:hanging="360" w:start="720" w:end="0"/>
        <w:rPr>
          <w:sz w:val="24"/>
        </w:rPr>
      </w:pPr>
      <w:r>
        <w:rPr>
          <w:sz w:val="24"/>
        </w:rPr>
        <w:t xml:space="preserve">Got in the queue for transmission and interconnection and assisted origination with BPA negotiations to get a longer time to accept the proposed contracts.  </w:t>
      </w:r>
    </w:p>
    <w:p>
      <w:pPr>
        <w:pStyle w:val="Normal"/>
        <w:numPr>
          <w:ilvl w:val="0"/>
          <w:numId w:val="13"/>
        </w:numPr>
        <w:tabs>
          <w:tab w:val="left" w:pos="720" w:leader="none"/>
        </w:tabs>
        <w:ind w:hanging="360" w:start="720" w:end="0"/>
        <w:rPr>
          <w:sz w:val="24"/>
        </w:rPr>
      </w:pPr>
      <w:r>
        <w:rPr>
          <w:sz w:val="24"/>
        </w:rPr>
        <w:t>Also, consulted with traders and origination about the commercial opportunities involved in BPA’s public process related to its replacement of certain DC intertie facilities</w:t>
      </w:r>
    </w:p>
    <w:p>
      <w:pPr>
        <w:pStyle w:val="Normal"/>
        <w:numPr>
          <w:ilvl w:val="0"/>
          <w:numId w:val="18"/>
        </w:numPr>
        <w:rPr>
          <w:sz w:val="24"/>
        </w:rPr>
      </w:pPr>
      <w:r>
        <w:rPr>
          <w:sz w:val="24"/>
        </w:rPr>
        <w:t>Project Wilhelm - Project to sell power to Kaiser Aluminum.  Assisted by advising about Kaiser’s transmission agreement with BPA and whether that agreement could be used to facilitate the transaction.</w:t>
      </w:r>
    </w:p>
    <w:p>
      <w:pPr>
        <w:pStyle w:val="Normal"/>
        <w:numPr>
          <w:ilvl w:val="0"/>
          <w:numId w:val="19"/>
        </w:numPr>
        <w:rPr>
          <w:sz w:val="24"/>
        </w:rPr>
      </w:pPr>
      <w:r>
        <w:rPr>
          <w:sz w:val="24"/>
        </w:rPr>
        <w:t>Mid-Marketing deal with Delano – advised on whether the deal had to be filed with FERC.</w:t>
      </w:r>
    </w:p>
    <w:p>
      <w:pPr>
        <w:pStyle w:val="Normal"/>
        <w:numPr>
          <w:ilvl w:val="0"/>
          <w:numId w:val="25"/>
        </w:numPr>
        <w:rPr>
          <w:sz w:val="24"/>
        </w:rPr>
      </w:pPr>
      <w:r>
        <w:rPr>
          <w:sz w:val="24"/>
        </w:rPr>
        <w:t>PGE transmission – got first in the queue for long term PGE transmission, negotiated with PGE and advised traders about rights of first refusal issue.</w:t>
      </w:r>
    </w:p>
    <w:p>
      <w:pPr>
        <w:pStyle w:val="Normal"/>
        <w:numPr>
          <w:ilvl w:val="0"/>
          <w:numId w:val="7"/>
        </w:numPr>
        <w:rPr>
          <w:sz w:val="24"/>
        </w:rPr>
      </w:pPr>
      <w:r>
        <w:rPr>
          <w:sz w:val="24"/>
        </w:rPr>
        <w:t>Control Area Development –consulted with the trading floor about</w:t>
      </w:r>
    </w:p>
    <w:p>
      <w:pPr>
        <w:pStyle w:val="Normal"/>
        <w:numPr>
          <w:ilvl w:val="0"/>
          <w:numId w:val="11"/>
        </w:numPr>
        <w:rPr>
          <w:sz w:val="24"/>
        </w:rPr>
      </w:pPr>
      <w:r>
        <w:rPr>
          <w:sz w:val="24"/>
        </w:rPr>
        <w:t>FERC filing to Revise EPMI tariff and get rid of code of conduct to facilitate sales to PGE – Reminded Sarah that we needed to do a filing after the merger and edited EPMI portion.</w:t>
      </w:r>
    </w:p>
    <w:p>
      <w:pPr>
        <w:pStyle w:val="Normal"/>
        <w:numPr>
          <w:ilvl w:val="0"/>
          <w:numId w:val="4"/>
        </w:numPr>
        <w:rPr>
          <w:sz w:val="24"/>
        </w:rPr>
      </w:pPr>
      <w:r>
        <w:rPr>
          <w:sz w:val="24"/>
        </w:rPr>
        <w:t xml:space="preserve">BPA Losses contract – Every year we choose one of three options for paying for losses from BPA.  </w:t>
      </w:r>
    </w:p>
    <w:p>
      <w:pPr>
        <w:pStyle w:val="Normal"/>
        <w:numPr>
          <w:ilvl w:val="0"/>
          <w:numId w:val="4"/>
        </w:numPr>
        <w:tabs>
          <w:tab w:val="left" w:pos="720" w:leader="none"/>
        </w:tabs>
        <w:ind w:hanging="360" w:start="720" w:end="0"/>
        <w:rPr>
          <w:sz w:val="24"/>
        </w:rPr>
      </w:pPr>
      <w:r>
        <w:rPr>
          <w:sz w:val="24"/>
        </w:rPr>
        <w:t xml:space="preserve">I recommended we buy them from BPA at a low flat rate.  </w:t>
      </w:r>
    </w:p>
    <w:p>
      <w:pPr>
        <w:pStyle w:val="Normal"/>
        <w:numPr>
          <w:ilvl w:val="0"/>
          <w:numId w:val="4"/>
        </w:numPr>
        <w:tabs>
          <w:tab w:val="left" w:pos="720" w:leader="none"/>
        </w:tabs>
        <w:ind w:hanging="360" w:start="720" w:end="0"/>
        <w:rPr>
          <w:sz w:val="24"/>
        </w:rPr>
      </w:pPr>
      <w:r>
        <w:rPr>
          <w:sz w:val="24"/>
        </w:rPr>
        <w:t>The traders chose this option and made $1,000,000.</w:t>
      </w:r>
    </w:p>
    <w:p>
      <w:pPr>
        <w:pStyle w:val="Normal"/>
        <w:numPr>
          <w:ilvl w:val="0"/>
          <w:numId w:val="12"/>
        </w:numPr>
        <w:rPr>
          <w:sz w:val="24"/>
        </w:rPr>
      </w:pPr>
      <w:r>
        <w:rPr>
          <w:sz w:val="24"/>
        </w:rPr>
        <w:t>BPA Slice – kept mid-marketers advised about BPA’s slice program to inform their negotiations with public power participants.  Negotiations still pending.</w:t>
      </w:r>
    </w:p>
    <w:p>
      <w:pPr>
        <w:pStyle w:val="Normal"/>
        <w:numPr>
          <w:ilvl w:val="0"/>
          <w:numId w:val="5"/>
        </w:numPr>
        <w:rPr>
          <w:sz w:val="24"/>
        </w:rPr>
      </w:pPr>
      <w:r>
        <w:rPr>
          <w:sz w:val="24"/>
        </w:rPr>
        <w:t>Helped Christi understand whether our commercial people could work with a muni to bypass transmission providers thereby avoiding stranded costs under Order No. 888.</w:t>
      </w:r>
    </w:p>
    <w:p>
      <w:pPr>
        <w:pStyle w:val="Normal"/>
        <w:rPr>
          <w:sz w:val="24"/>
        </w:rPr>
      </w:pPr>
      <w:r>
        <w:rPr>
          <w:sz w:val="24"/>
        </w:rPr>
      </w:r>
    </w:p>
    <w:p>
      <w:pPr>
        <w:pStyle w:val="Heading2"/>
        <w:ind w:hanging="0" w:start="0"/>
        <w:rPr/>
      </w:pPr>
      <w:r>
        <w:rPr/>
        <w:t>Opening and Enhancing New Markets</w:t>
      </w:r>
    </w:p>
    <w:p>
      <w:pPr>
        <w:pStyle w:val="Normal"/>
        <w:rPr/>
      </w:pPr>
      <w:r>
        <w:rPr/>
      </w:r>
    </w:p>
    <w:p>
      <w:pPr>
        <w:pStyle w:val="Normal"/>
        <w:numPr>
          <w:ilvl w:val="0"/>
          <w:numId w:val="9"/>
        </w:numPr>
        <w:rPr>
          <w:sz w:val="24"/>
        </w:rPr>
      </w:pPr>
      <w:r>
        <w:rPr>
          <w:sz w:val="24"/>
        </w:rPr>
        <w:t xml:space="preserve">RTO West Negotiations – </w:t>
      </w:r>
    </w:p>
    <w:p>
      <w:pPr>
        <w:pStyle w:val="Normal"/>
        <w:numPr>
          <w:ilvl w:val="0"/>
          <w:numId w:val="16"/>
        </w:numPr>
        <w:tabs>
          <w:tab w:val="left" w:pos="720" w:leader="none"/>
        </w:tabs>
        <w:ind w:hanging="360" w:start="720" w:end="0"/>
        <w:rPr>
          <w:sz w:val="24"/>
        </w:rPr>
      </w:pPr>
      <w:r>
        <w:rPr>
          <w:sz w:val="24"/>
        </w:rPr>
        <w:t>As part of the NW attorney group convinced BPA that it had the authority to join an RTO.</w:t>
      </w:r>
    </w:p>
    <w:p>
      <w:pPr>
        <w:pStyle w:val="Normal"/>
        <w:numPr>
          <w:ilvl w:val="0"/>
          <w:numId w:val="16"/>
        </w:numPr>
        <w:tabs>
          <w:tab w:val="left" w:pos="720" w:leader="none"/>
        </w:tabs>
        <w:ind w:hanging="360" w:start="720" w:end="0"/>
        <w:rPr>
          <w:sz w:val="24"/>
        </w:rPr>
      </w:pPr>
      <w:r>
        <w:rPr>
          <w:sz w:val="24"/>
        </w:rPr>
        <w:t>Obtained an independent board and ensured that stakeholders would not be able to control the board’s decisions through the advisory committee.</w:t>
      </w:r>
    </w:p>
    <w:p>
      <w:pPr>
        <w:pStyle w:val="Normal"/>
        <w:numPr>
          <w:ilvl w:val="0"/>
          <w:numId w:val="16"/>
        </w:numPr>
        <w:tabs>
          <w:tab w:val="left" w:pos="720" w:leader="none"/>
        </w:tabs>
        <w:ind w:hanging="360" w:start="720" w:end="0"/>
        <w:rPr>
          <w:sz w:val="24"/>
        </w:rPr>
      </w:pPr>
      <w:r>
        <w:rPr>
          <w:sz w:val="24"/>
        </w:rPr>
        <w:t>Reviewed and made market friendly changes to tariff, interconnection and transmission operating agreements</w:t>
      </w:r>
    </w:p>
    <w:p>
      <w:pPr>
        <w:pStyle w:val="Normal"/>
        <w:numPr>
          <w:ilvl w:val="0"/>
          <w:numId w:val="16"/>
        </w:numPr>
        <w:tabs>
          <w:tab w:val="left" w:pos="720" w:leader="none"/>
        </w:tabs>
        <w:ind w:hanging="360" w:start="720" w:end="0"/>
        <w:rPr>
          <w:sz w:val="24"/>
        </w:rPr>
      </w:pPr>
      <w:r>
        <w:rPr>
          <w:sz w:val="24"/>
        </w:rPr>
        <w:t>Working with Steve Walton, developed the central issues we would seek to protest in the RTO West FERC filing.</w:t>
      </w:r>
    </w:p>
    <w:p>
      <w:pPr>
        <w:pStyle w:val="Normal"/>
        <w:numPr>
          <w:ilvl w:val="0"/>
          <w:numId w:val="3"/>
        </w:numPr>
        <w:rPr>
          <w:sz w:val="24"/>
        </w:rPr>
      </w:pPr>
      <w:r>
        <w:rPr>
          <w:sz w:val="24"/>
        </w:rPr>
        <w:t>BPA Power Rate Case –</w:t>
      </w:r>
      <w:r>
        <w:rPr>
          <w:color w:val="000000"/>
          <w:sz w:val="24"/>
        </w:rPr>
        <w:t xml:space="preserve"> Through my intervention in this case, </w:t>
      </w:r>
    </w:p>
    <w:p>
      <w:pPr>
        <w:pStyle w:val="Normal"/>
        <w:numPr>
          <w:ilvl w:val="0"/>
          <w:numId w:val="3"/>
        </w:numPr>
        <w:tabs>
          <w:tab w:val="left" w:pos="720" w:leader="none"/>
        </w:tabs>
        <w:ind w:hanging="360" w:start="720" w:end="0"/>
        <w:rPr>
          <w:sz w:val="24"/>
        </w:rPr>
      </w:pPr>
      <w:r>
        <w:rPr>
          <w:color w:val="000000"/>
          <w:sz w:val="24"/>
        </w:rPr>
        <w:t xml:space="preserve">BPA decided that it will now encourage third-party or joint ownership through limited competition for new fiber optic projects. In particular it will evaluate proposals from third parties to own the cable while providing BPA with the fiber it needs for operational and reliability purposes.  </w:t>
      </w:r>
    </w:p>
    <w:p>
      <w:pPr>
        <w:pStyle w:val="Normal"/>
        <w:numPr>
          <w:ilvl w:val="0"/>
          <w:numId w:val="3"/>
        </w:numPr>
        <w:tabs>
          <w:tab w:val="left" w:pos="720" w:leader="none"/>
        </w:tabs>
        <w:ind w:hanging="360" w:start="720" w:end="0"/>
        <w:rPr>
          <w:sz w:val="24"/>
        </w:rPr>
      </w:pPr>
      <w:r>
        <w:rPr>
          <w:color w:val="000000"/>
          <w:sz w:val="24"/>
        </w:rPr>
        <w:t>In response to my argument that BPA had overestimated the costs that should be functionalized from its power business to its transmission business for reactive power, although BPA upheld its initial cost allocation proposal, BPA required its transmission business to develop a unit-cost rate for the generation-supplied reactive power ancillary service</w:t>
      </w:r>
    </w:p>
    <w:p>
      <w:pPr>
        <w:pStyle w:val="Normal"/>
        <w:numPr>
          <w:ilvl w:val="0"/>
          <w:numId w:val="24"/>
        </w:numPr>
        <w:rPr>
          <w:sz w:val="24"/>
        </w:rPr>
      </w:pPr>
      <w:r>
        <w:rPr>
          <w:sz w:val="24"/>
        </w:rPr>
        <w:t xml:space="preserve">BPA Transmission Rate Case – negotiated settlement of rates and rates, terms and conditions including: </w:t>
      </w:r>
    </w:p>
    <w:p>
      <w:pPr>
        <w:pStyle w:val="Normal"/>
        <w:numPr>
          <w:ilvl w:val="0"/>
          <w:numId w:val="21"/>
        </w:numPr>
        <w:tabs>
          <w:tab w:val="left" w:pos="720" w:leader="none"/>
        </w:tabs>
        <w:ind w:hanging="360" w:start="720" w:end="0"/>
        <w:rPr>
          <w:sz w:val="24"/>
        </w:rPr>
      </w:pPr>
      <w:r>
        <w:rPr>
          <w:sz w:val="24"/>
        </w:rPr>
        <w:t xml:space="preserve">dissuaded BPA from developing a redispatching tariff – because it didn’t know what it was doing and the RTO could do it better, </w:t>
      </w:r>
    </w:p>
    <w:p>
      <w:pPr>
        <w:pStyle w:val="Normal"/>
        <w:numPr>
          <w:ilvl w:val="0"/>
          <w:numId w:val="15"/>
        </w:numPr>
        <w:tabs>
          <w:tab w:val="left" w:pos="720" w:leader="none"/>
        </w:tabs>
        <w:ind w:hanging="360" w:start="720" w:end="0"/>
        <w:rPr>
          <w:sz w:val="24"/>
        </w:rPr>
      </w:pPr>
      <w:r>
        <w:rPr>
          <w:sz w:val="24"/>
        </w:rPr>
        <w:t xml:space="preserve">talked BPA into settling the terms and condition portion of the case given, did a detailed analysis of the proposed OATT (which did not comply with the pro forma tariff) and lead the investor owned utilities in convincing BPA to make the following changes: (1) oasis conformance, (2) discounting, (3) waiver of deposits, (4) flexibility of service: hourly firm, daily firm, ets., (5) uniform interconnection procedures, (6) for delayed implementation of service, removing bumping and acceleration provisions, (7) removing conditions for reassignment, (8) Power business line redispatching of federal hydro (uncompensated) after curtailment of non-firm transmission, before curtailment of firm, (9) customer self-supply of imbalances, (10) termination of service provision, (11) BPA can propose changes to terms and conditions important to joining an RTO.  </w:t>
      </w:r>
      <w:r>
        <w:rPr>
          <w:color w:val="000000"/>
          <w:sz w:val="24"/>
          <w:lang w:eastAsia="en-US"/>
        </w:rPr>
        <w:t>The traders said that the settlement I negotiated added liquidity to the market (e.g., being able to buy transmission from control area to control area rather than having to name source and sink) but said they could not put a value on these elements.</w:t>
      </w:r>
    </w:p>
    <w:p>
      <w:pPr>
        <w:pStyle w:val="Normal"/>
        <w:numPr>
          <w:ilvl w:val="0"/>
          <w:numId w:val="21"/>
        </w:numPr>
        <w:tabs>
          <w:tab w:val="left" w:pos="720" w:leader="none"/>
        </w:tabs>
        <w:ind w:hanging="360" w:start="720" w:end="0"/>
        <w:rPr>
          <w:sz w:val="24"/>
        </w:rPr>
      </w:pPr>
      <w:r>
        <w:rPr>
          <w:sz w:val="24"/>
        </w:rPr>
        <w:t>Informed traders about BPA’s proposed changes to scheduling practices, tariff provisions and rates</w:t>
      </w:r>
    </w:p>
    <w:p>
      <w:pPr>
        <w:pStyle w:val="Normal"/>
        <w:numPr>
          <w:ilvl w:val="0"/>
          <w:numId w:val="21"/>
        </w:numPr>
        <w:tabs>
          <w:tab w:val="left" w:pos="720" w:leader="none"/>
        </w:tabs>
        <w:ind w:hanging="360" w:start="720" w:end="0"/>
        <w:rPr>
          <w:sz w:val="24"/>
        </w:rPr>
      </w:pPr>
      <w:r>
        <w:rPr>
          <w:sz w:val="24"/>
        </w:rPr>
        <w:t>Informed originators about BPA’s proposed changes to ancillary service rates and interconnection provisions</w:t>
      </w:r>
    </w:p>
    <w:p>
      <w:pPr>
        <w:pStyle w:val="Normal"/>
        <w:numPr>
          <w:ilvl w:val="0"/>
          <w:numId w:val="21"/>
        </w:numPr>
        <w:tabs>
          <w:tab w:val="left" w:pos="720" w:leader="none"/>
        </w:tabs>
        <w:ind w:hanging="360" w:start="720" w:end="0"/>
        <w:rPr>
          <w:sz w:val="24"/>
        </w:rPr>
      </w:pPr>
      <w:r>
        <w:rPr>
          <w:sz w:val="24"/>
        </w:rPr>
        <w:t>Got BPA to implement an open season for transmission in return for BPA implementing roll-over rights in its tariff</w:t>
      </w:r>
    </w:p>
    <w:p>
      <w:pPr>
        <w:pStyle w:val="Normal"/>
        <w:numPr>
          <w:ilvl w:val="0"/>
          <w:numId w:val="22"/>
        </w:numPr>
        <w:rPr>
          <w:sz w:val="24"/>
        </w:rPr>
      </w:pPr>
      <w:r>
        <w:rPr>
          <w:sz w:val="24"/>
        </w:rPr>
        <w:t xml:space="preserve">BPA Legislation – </w:t>
      </w:r>
    </w:p>
    <w:p>
      <w:pPr>
        <w:pStyle w:val="Normal"/>
        <w:numPr>
          <w:ilvl w:val="0"/>
          <w:numId w:val="8"/>
        </w:numPr>
        <w:tabs>
          <w:tab w:val="left" w:pos="720" w:leader="none"/>
        </w:tabs>
        <w:ind w:hanging="360" w:start="720" w:end="0"/>
        <w:rPr>
          <w:sz w:val="24"/>
        </w:rPr>
      </w:pPr>
      <w:r>
        <w:rPr>
          <w:sz w:val="24"/>
        </w:rPr>
        <w:t>Got a colloquy (and edited language) in BPA’s appropriations bill whereby Senators agreed to pas legislation necessary to facilitate BPA’s participation in an RTO.  Also supported passing this bill which allowed BPA to participate in RTO negotiations.</w:t>
      </w:r>
    </w:p>
    <w:p>
      <w:pPr>
        <w:pStyle w:val="Normal"/>
        <w:numPr>
          <w:ilvl w:val="0"/>
          <w:numId w:val="8"/>
        </w:numPr>
        <w:tabs>
          <w:tab w:val="left" w:pos="720" w:leader="none"/>
        </w:tabs>
        <w:ind w:hanging="360" w:start="720" w:end="0"/>
        <w:rPr>
          <w:sz w:val="24"/>
        </w:rPr>
      </w:pPr>
      <w:r>
        <w:rPr>
          <w:sz w:val="24"/>
        </w:rPr>
        <w:t>Lead investor owned utility effort to file a white paper on the Barton Bill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sz w:val="24"/>
      <w:lang w:eastAsia="en-US"/>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2000-01-14T23:00:00Z</dcterms:created>
  <dc:creator>mhain</dc:creator>
  <dc:description/>
  <dc:language>en-CA</dc:language>
  <cp:lastModifiedBy>mhain</cp:lastModifiedBy>
  <dcterms:modified xsi:type="dcterms:W3CDTF">2000-12-07T19:42:00Z</dcterms:modified>
  <cp:revision>16</cp:revision>
  <dc:subject/>
  <dc:title>2000 Accomplishments</dc:title>
</cp:coreProperties>
</file>