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rPr>
      </w:pPr>
      <w:r>
        <w:rPr>
          <w:rFonts w:cs="Arial" w:ascii="Arial" w:hAnsi="Arial"/>
          <w:sz w:val="22"/>
        </w:rPr>
        <w:t>December 21, 2000</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Brazos VPP Limited Partnership</w:t>
      </w:r>
    </w:p>
    <w:p>
      <w:pPr>
        <w:pStyle w:val="Normal"/>
        <w:jc w:val="both"/>
        <w:rPr>
          <w:rFonts w:ascii="Arial" w:hAnsi="Arial" w:cs="Arial"/>
          <w:sz w:val="22"/>
        </w:rPr>
      </w:pPr>
      <w:r>
        <w:rPr>
          <w:rFonts w:cs="Arial" w:ascii="Arial" w:hAnsi="Arial"/>
          <w:sz w:val="22"/>
        </w:rPr>
        <w:t>1400 Smith</w:t>
      </w:r>
    </w:p>
    <w:p>
      <w:pPr>
        <w:pStyle w:val="Normal"/>
        <w:jc w:val="both"/>
        <w:rPr>
          <w:rFonts w:ascii="Arial" w:hAnsi="Arial" w:cs="Arial"/>
          <w:sz w:val="22"/>
        </w:rPr>
      </w:pPr>
      <w:r>
        <w:rPr>
          <w:rFonts w:cs="Arial" w:ascii="Arial" w:hAnsi="Arial"/>
          <w:sz w:val="22"/>
        </w:rPr>
        <w:t>Houston, Texas 77002</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sz w:val="22"/>
        </w:rPr>
        <w:t>This Transaction Agreement shall confirm the transaction agreed to and be binding between Brazos VPP Limited Partnership, a Texas limited partnership ("</w:t>
      </w:r>
      <w:r>
        <w:rPr>
          <w:rFonts w:cs="Arial" w:ascii="Arial" w:hAnsi="Arial"/>
          <w:sz w:val="22"/>
          <w:u w:val="single"/>
        </w:rPr>
        <w:t>Customer</w:t>
      </w:r>
      <w:r>
        <w:rPr>
          <w:rFonts w:cs="Arial" w:ascii="Arial" w:hAnsi="Arial"/>
          <w:sz w:val="22"/>
        </w:rPr>
        <w:t>") and Enron North America Corp. ("</w:t>
      </w:r>
      <w:r>
        <w:rPr>
          <w:rFonts w:cs="Arial" w:ascii="Arial" w:hAnsi="Arial"/>
          <w:sz w:val="22"/>
          <w:u w:val="single"/>
        </w:rPr>
        <w:t>Company</w:t>
      </w:r>
      <w:r>
        <w:rPr>
          <w:rFonts w:cs="Arial" w:ascii="Arial" w:hAnsi="Arial"/>
          <w:sz w:val="22"/>
        </w:rPr>
        <w:t>") regarding the purchase and sale of Gas on the following terms.  Company to purchase and receive (“</w:t>
      </w:r>
      <w:r>
        <w:rPr>
          <w:rFonts w:cs="Arial" w:ascii="Arial" w:hAnsi="Arial"/>
          <w:b/>
          <w:sz w:val="22"/>
          <w:u w:val="single"/>
        </w:rPr>
        <w:t>Buyer</w:t>
      </w:r>
      <w:r>
        <w:rPr>
          <w:rFonts w:cs="Arial" w:ascii="Arial" w:hAnsi="Arial"/>
          <w:sz w:val="22"/>
        </w:rPr>
        <w:t>”) and Customer to sell and deliver (“</w:t>
      </w:r>
      <w:r>
        <w:rPr>
          <w:rFonts w:cs="Arial" w:ascii="Arial" w:hAnsi="Arial"/>
          <w:b/>
          <w:sz w:val="22"/>
          <w:u w:val="single"/>
        </w:rPr>
        <w:t>Seller</w:t>
      </w:r>
      <w:r>
        <w:rPr>
          <w:rFonts w:cs="Arial" w:ascii="Arial" w:hAnsi="Arial"/>
          <w:sz w:val="22"/>
        </w:rPr>
        <w:t>”).  Transaction Number ______________.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through June 30, 2003.</w:t>
      </w:r>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tabs>
          <w:tab w:val="clear" w:pos="720"/>
          <w:tab w:val="left" w:pos="4680" w:leader="none"/>
          <w:tab w:val="left" w:pos="7560" w:leader="none"/>
        </w:tabs>
        <w:ind w:hanging="4140" w:start="4140" w:end="0"/>
        <w:jc w:val="both"/>
        <w:rPr/>
      </w:pPr>
      <w:r>
        <w:rPr>
          <w:rFonts w:cs="Arial" w:ascii="Arial" w:hAnsi="Arial"/>
          <w:b/>
          <w:bCs/>
          <w:sz w:val="22"/>
          <w:u w:val="single"/>
        </w:rPr>
        <w:t>DAILY CONTRACT QUANTITY:  DCQ:</w:t>
        <w:tab/>
        <w:tab/>
      </w:r>
      <w:r>
        <w:rPr>
          <w:rFonts w:cs="Arial" w:ascii="Arial" w:hAnsi="Arial"/>
          <w:bCs/>
          <w:sz w:val="22"/>
          <w:u w:val="single"/>
        </w:rPr>
        <w:t>Delivery Month</w:t>
      </w:r>
      <w:r>
        <w:rPr>
          <w:rFonts w:cs="Arial" w:ascii="Arial" w:hAnsi="Arial"/>
          <w:bCs/>
          <w:sz w:val="22"/>
          <w:u w:val="single"/>
        </w:rPr>
        <w:tab/>
      </w:r>
      <w:r>
        <w:rPr/>
        <w:t>MMBtu/day</w:t>
      </w:r>
    </w:p>
    <w:tbl>
      <w:tblPr>
        <w:tblW w:w="5436" w:type="dxa"/>
        <w:jc w:val="start"/>
        <w:tblInd w:w="4140" w:type="dxa"/>
        <w:tblLayout w:type="fixed"/>
        <w:tblCellMar>
          <w:top w:w="0" w:type="dxa"/>
          <w:start w:w="108" w:type="dxa"/>
          <w:bottom w:w="0" w:type="dxa"/>
          <w:end w:w="108" w:type="dxa"/>
        </w:tblCellMar>
      </w:tblPr>
      <w:tblGrid>
        <w:gridCol w:w="2560"/>
        <w:gridCol w:w="2876"/>
      </w:tblGrid>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10,410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11,480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10,335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10,640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10,260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10,565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July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10,100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August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9,900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September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10,045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October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9,555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November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9,710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December 2001</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9,255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9,125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9,970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8,895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9,085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8,695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8,895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July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8,500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August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8,150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September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8,910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October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8,545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November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8,750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December 2002</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8,400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January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8,205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February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8,435</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March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7,330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April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7,280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May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6,790</w:t>
            </w:r>
          </w:p>
        </w:tc>
      </w:tr>
      <w:tr>
        <w:trPr/>
        <w:tc>
          <w:tcPr>
            <w:tcW w:w="25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jc w:val="center"/>
              <w:rPr>
                <w:rFonts w:ascii="Arial" w:hAnsi="Arial" w:cs="Arial"/>
                <w:sz w:val="22"/>
              </w:rPr>
            </w:pPr>
            <w:r>
              <w:rPr>
                <w:rFonts w:cs="Arial" w:ascii="Arial" w:hAnsi="Arial"/>
                <w:sz w:val="22"/>
              </w:rPr>
              <w:t>June 2003</w:t>
            </w:r>
          </w:p>
        </w:tc>
        <w:tc>
          <w:tcPr>
            <w:tcW w:w="28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8640" w:leader="none"/>
              </w:tabs>
              <w:ind w:end="900"/>
              <w:jc w:val="end"/>
              <w:rPr>
                <w:rFonts w:ascii="Arial" w:hAnsi="Arial" w:cs="Arial"/>
                <w:sz w:val="22"/>
              </w:rPr>
            </w:pPr>
            <w:r>
              <w:rPr>
                <w:rFonts w:cs="Arial" w:ascii="Arial" w:hAnsi="Arial"/>
                <w:sz w:val="22"/>
              </w:rPr>
              <w:t>6,775</w:t>
            </w:r>
          </w:p>
        </w:tc>
      </w:tr>
    </w:tbl>
    <w:p>
      <w:pPr>
        <w:pStyle w:val="BodyTextIndent"/>
        <w:tabs>
          <w:tab w:val="left" w:pos="0" w:leader="none"/>
          <w:tab w:val="left" w:pos="720" w:leader="none"/>
        </w:tabs>
        <w:rPr/>
      </w:pPr>
      <w:r>
        <w:rPr/>
      </w:r>
    </w:p>
    <w:p>
      <w:pPr>
        <w:pStyle w:val="Normal"/>
        <w:ind w:hanging="2880" w:start="3600" w:end="0"/>
        <w:rPr/>
      </w:pPr>
      <w:r>
        <w:rPr>
          <w:rFonts w:cs="Arial Narrow" w:ascii="Arial Narrow" w:hAnsi="Arial Narrow"/>
          <w:b/>
          <w:bCs/>
          <w:sz w:val="22"/>
        </w:rPr>
        <w:t>MaxDQ:</w:t>
        <w:tab/>
      </w:r>
      <w:r>
        <w:rPr>
          <w:rFonts w:cs="Arial Narrow" w:ascii="Arial Narrow" w:hAnsi="Arial Narrow"/>
          <w:sz w:val="22"/>
        </w:rPr>
        <w:t>The MaxDQ shall be equal to 125% of the DCQ for each day during the Period of Delivery.</w:t>
      </w:r>
    </w:p>
    <w:p>
      <w:pPr>
        <w:pStyle w:val="BodyTextIndent"/>
        <w:tabs>
          <w:tab w:val="left" w:pos="0" w:leader="none"/>
          <w:tab w:val="left" w:pos="720" w:leader="none"/>
        </w:tabs>
        <w:rPr>
          <w:rFonts w:ascii="Arial Narrow" w:hAnsi="Arial Narrow" w:cs="Arial Narrow"/>
          <w:sz w:val="22"/>
        </w:rPr>
      </w:pPr>
      <w:r>
        <w:rPr>
          <w:rFonts w:cs="Arial Narrow" w:ascii="Arial Narrow" w:hAnsi="Arial Narrow"/>
          <w:sz w:val="22"/>
        </w:rPr>
      </w:r>
    </w:p>
    <w:p>
      <w:pPr>
        <w:pStyle w:val="Normal"/>
        <w:tabs>
          <w:tab w:val="clear" w:pos="720"/>
          <w:tab w:val="left" w:pos="8640" w:leader="none"/>
        </w:tabs>
        <w:ind w:hanging="3600" w:start="3600" w:end="0"/>
        <w:jc w:val="both"/>
        <w:rPr/>
      </w:pPr>
      <w:r>
        <w:rPr>
          <w:rFonts w:cs="Arial" w:ascii="Arial" w:hAnsi="Arial"/>
          <w:b/>
          <w:sz w:val="22"/>
        </w:rPr>
        <w:t>DELIVERY POINT(S):</w:t>
      </w:r>
      <w:r>
        <w:rPr>
          <w:rFonts w:cs="Arial" w:ascii="Arial" w:hAnsi="Arial"/>
          <w:sz w:val="22"/>
        </w:rPr>
        <w:t xml:space="preserve">  </w:t>
        <w:tab/>
        <w:t>Texas Gas Transmission Corp. meter numbers 9437 and 9502 located in the St. Mary Parish in Louisiana.</w:t>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ind w:hanging="3600" w:start="3600" w:end="0"/>
        <w:jc w:val="both"/>
        <w:rPr/>
      </w:pPr>
      <w:r>
        <w:rPr>
          <w:rFonts w:cs="Arial" w:ascii="Arial" w:hAnsi="Arial"/>
          <w:b/>
          <w:sz w:val="22"/>
        </w:rPr>
        <w:t>CONTRACT PRICE (PER MMBTU):</w:t>
      </w:r>
      <w:r>
        <w:rPr>
          <w:rFonts w:cs="Arial" w:ascii="Arial" w:hAnsi="Arial"/>
          <w:sz w:val="22"/>
        </w:rPr>
        <w:t xml:space="preserve"> A price per MMBtu, calculated on a dry basis, equal to the "Index Price" published in </w:t>
      </w:r>
      <w:r>
        <w:rPr>
          <w:rFonts w:cs="Arial" w:ascii="Arial" w:hAnsi="Arial"/>
          <w:sz w:val="22"/>
          <w:u w:val="single"/>
        </w:rPr>
        <w:t>Inside F.E.R.C.'s Gas Market Report</w:t>
      </w:r>
      <w:r>
        <w:rPr>
          <w:rFonts w:cs="Arial" w:ascii="Arial" w:hAnsi="Arial"/>
          <w:sz w:val="22"/>
        </w:rPr>
        <w:t xml:space="preserve"> for Texas Gas Transmission Zone South Louisiana (large packages only) as listed in the table entitled "Delivered Spot-Gas Price" in the first-of-the-month issue of such publication for each Month during the Period of Delivery</w:t>
      </w:r>
      <w:r>
        <w:rPr>
          <w:rFonts w:cs="Arial" w:ascii="Arial" w:hAnsi="Arial"/>
          <w:b/>
          <w:sz w:val="22"/>
        </w:rPr>
        <w:t xml:space="preserve"> </w:t>
      </w:r>
      <w:r>
        <w:rPr>
          <w:rFonts w:cs="Arial" w:ascii="Arial" w:hAnsi="Arial"/>
          <w:sz w:val="22"/>
        </w:rPr>
        <w:t>plus $0.0025 per MMBtu.</w:t>
      </w:r>
    </w:p>
    <w:p>
      <w:pPr>
        <w:pStyle w:val="Normal"/>
        <w:ind w:hanging="3600" w:start="3600" w:end="0"/>
        <w:jc w:val="both"/>
        <w:rPr>
          <w:rFonts w:ascii="Arial" w:hAnsi="Arial" w:cs="Arial"/>
          <w:sz w:val="22"/>
        </w:rPr>
      </w:pPr>
      <w:r>
        <w:rPr>
          <w:rFonts w:cs="Arial" w:ascii="Arial" w:hAnsi="Arial"/>
          <w:sz w:val="22"/>
        </w:rPr>
      </w:r>
    </w:p>
    <w:p>
      <w:pPr>
        <w:pStyle w:val="Normal"/>
        <w:ind w:hanging="3600" w:start="3600" w:end="0"/>
        <w:jc w:val="both"/>
        <w:rPr/>
      </w:pPr>
      <w:r>
        <w:rPr>
          <w:rFonts w:cs="Arial" w:ascii="Arial" w:hAnsi="Arial"/>
          <w:b/>
          <w:bCs/>
          <w:sz w:val="22"/>
        </w:rPr>
        <w:t>SPOT PRICE (PER MMBTU):</w:t>
        <w:tab/>
      </w:r>
      <w:r>
        <w:rPr>
          <w:rFonts w:cs="Arial" w:ascii="Arial" w:hAnsi="Arial"/>
          <w:sz w:val="22"/>
        </w:rPr>
        <w:t xml:space="preserve">The Spot Price for each MMBtu in excess of the DCQ that is scheduled by the Parties for any day during the Period of Delivery shall be equal to the Gas Daily Midpoint Price as set forth in </w:t>
      </w:r>
      <w:r>
        <w:rPr>
          <w:rFonts w:cs="Arial" w:ascii="Arial" w:hAnsi="Arial"/>
          <w:sz w:val="22"/>
          <w:u w:val="single"/>
        </w:rPr>
        <w:t>Gas Daily</w:t>
      </w:r>
      <w:r>
        <w:rPr>
          <w:rFonts w:cs="Arial" w:ascii="Arial" w:hAnsi="Arial"/>
          <w:sz w:val="22"/>
        </w:rPr>
        <w:t>® as published by Financial Energy Times, or successor publication, in the column “Daily Price Survey” under the section entitled “Louisiana-Onshore South – Texas Gas SL” for the relevant Day during the Period of Delivery.  If there is no single Gas Daily Midpoint Price published for that particular Day, but there is published a common range of prices under the above column section, the Gas Daily Midpoint Price shall be the average of such common high and low prices.  In the event that no Gas Daily Midpoint Price or common range of prices is published for that particular day, then the Gas Daily Midpoint Price shall be the average of the following:  the price (determined as stated above) for the Days immediately preceding and following the Day in question.</w:t>
      </w:r>
    </w:p>
    <w:p>
      <w:pPr>
        <w:pStyle w:val="Normal"/>
        <w:jc w:val="both"/>
        <w:rPr>
          <w:rFonts w:ascii="Arial" w:hAnsi="Arial" w:cs="Arial"/>
          <w:b/>
          <w:bCs/>
          <w:sz w:val="22"/>
        </w:rPr>
      </w:pPr>
      <w:r>
        <w:rPr>
          <w:rFonts w:cs="Arial" w:ascii="Arial" w:hAnsi="Arial"/>
          <w:b/>
          <w:bCs/>
          <w:sz w:val="22"/>
        </w:rPr>
      </w:r>
    </w:p>
    <w:p>
      <w:pPr>
        <w:pStyle w:val="Normal"/>
        <w:jc w:val="both"/>
        <w:rPr/>
      </w:pPr>
      <w:r>
        <w:rPr>
          <w:rFonts w:cs="Arial" w:ascii="Arial" w:hAnsi="Arial"/>
          <w:b/>
          <w:bCs/>
          <w:sz w:val="22"/>
        </w:rPr>
        <w:t>SPOT PRICE LOCATION:</w:t>
        <w:tab/>
        <w:tab/>
      </w:r>
      <w:r>
        <w:rPr>
          <w:rFonts w:cs="Arial" w:ascii="Arial" w:hAnsi="Arial"/>
          <w:sz w:val="22"/>
        </w:rPr>
        <w:t>Gas Daily Texas Gas Transmission Zone South Louisiana</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This Transaction Agreement is being provided pursuant to and in accordance with the ENFOLIO Master Firm Purchase/Sale Agreement in effect between the Customer and the Company, and constitutes part of and is subject to all of the provisions of such Agreement. Company does hereby adopt this letterhead, including the address, as its signature in respect of the identification of Company and the authentication by Company of this Transaction Agreement.  Any objection of Customer to this Transaction Agreement must be made by written notice to Company within 10 days of receipt of same.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Each Party shall not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sectPr>
      <w:headerReference w:type="default" r:id="rId2"/>
      <w:headerReference w:type="first" r:id="rId3"/>
      <w:footerReference w:type="default" r:id="rId4"/>
      <w:footerReference w:type="first" r:id="rId5"/>
      <w:type w:val="nextPage"/>
      <w:pgSz w:w="12240" w:h="15840"/>
      <w:pgMar w:left="1440" w:right="1440" w:gutter="0" w:header="720" w:top="180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/mnt/main-storage/datasets/enron-docs/doc/2000_91crfm-b04e35a37a30fa479e028d2eddf17e1de976d2c096e20c4d84b55ca68e1f5a47.doc</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/mnt/main-storage/datasets/enron-docs/doc/2000_91crfm-b04e35a37a30fa479e028d2eddf17e1de976d2c096e20c4d84b55ca68e1f5a47.doc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Brazos VVP Limited Partnership</w:t>
    </w:r>
  </w:p>
  <w:p>
    <w:pPr>
      <w:pStyle w:val="Header"/>
      <w:rPr>
        <w:rFonts w:ascii="Arial" w:hAnsi="Arial" w:cs="Arial"/>
        <w:sz w:val="22"/>
      </w:rPr>
    </w:pPr>
    <w:r>
      <w:rPr>
        <w:rFonts w:cs="Arial" w:ascii="Arial" w:hAnsi="Arial"/>
        <w:sz w:val="22"/>
      </w:rPr>
      <w:t>December 21, 2000</w:t>
    </w:r>
  </w:p>
  <w:p>
    <w:pPr>
      <w:pStyle w:val="Header"/>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025946060"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firstLine="720" w:start="216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0"/>
        <w:numId w:val="2"/>
      </w:numPr>
      <w:tabs>
        <w:tab w:val="clear" w:pos="720"/>
        <w:tab w:val="left" w:pos="360" w:leader="none"/>
      </w:tabs>
      <w:ind w:hanging="360" w:start="360" w:end="0"/>
      <w:outlineLvl w:val="7"/>
    </w:pPr>
    <w:rPr>
      <w:rFonts w:ascii="Times New Roman" w:hAnsi="Times New Roman" w:cs="Times New Roman"/>
      <w:b/>
      <w:sz w:val="20"/>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2"/>
      <w:u w:val="none"/>
    </w:rPr>
  </w:style>
  <w:style w:type="character" w:styleId="WW8Num6z0">
    <w:name w:val="WW8Num6z0"/>
    <w:qFormat/>
    <w:rPr/>
  </w:style>
  <w:style w:type="character" w:styleId="WW8Num7z0">
    <w:name w:val="WW8Num7z0"/>
    <w:qFormat/>
    <w:rPr>
      <w:sz w:val="20"/>
    </w:rPr>
  </w:style>
  <w:style w:type="character" w:styleId="WW8Num8z0">
    <w:name w:val="WW8Num8z0"/>
    <w:qFormat/>
    <w:rPr>
      <w:rFonts w:ascii="Times New Roman" w:hAnsi="Times New Roman" w:cs="Times New Roman"/>
      <w:b w:val="false"/>
      <w:i w:val="false"/>
      <w:sz w:val="22"/>
      <w:u w:val="non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8z0">
    <w:name w:val="WW8Num28z0"/>
    <w:qFormat/>
    <w:rPr/>
  </w:style>
  <w:style w:type="character" w:styleId="WW8Num29z0">
    <w:name w:val="WW8Num29z0"/>
    <w:qFormat/>
    <w:rPr>
      <w:sz w:val="2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2"/>
      <w:u w:val="none"/>
    </w:rPr>
  </w:style>
  <w:style w:type="character" w:styleId="WW8Num38z0">
    <w:name w:val="WW8Num38z0"/>
    <w:qFormat/>
    <w:rPr>
      <w:sz w:val="20"/>
    </w:rPr>
  </w:style>
  <w:style w:type="character" w:styleId="WW8Num39z0">
    <w:name w:val="WW8Num39z0"/>
    <w:qFormat/>
    <w:rPr/>
  </w:style>
  <w:style w:type="character" w:styleId="WW8Num40z0">
    <w:name w:val="WW8Num40z0"/>
    <w:qFormat/>
    <w:rPr/>
  </w:style>
  <w:style w:type="character" w:styleId="WW8Num41z0">
    <w:name w:val="WW8Num41z0"/>
    <w:qFormat/>
    <w:rPr>
      <w:u w:val="singl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Times New Roman" w:hAnsi="Times New Roman" w:cs="Times New Roman"/>
      <w:b w:val="false"/>
      <w:i w:val="false"/>
      <w:sz w:val="22"/>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2"/>
      <w:u w:val="none"/>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
    <w:name w:val="Body Text Indent"/>
    <w:basedOn w:val="Normal"/>
    <w:pPr>
      <w:tabs>
        <w:tab w:val="clear" w:pos="720"/>
        <w:tab w:val="left" w:pos="0" w:leader="none"/>
      </w:tabs>
      <w:ind w:hanging="0" w:start="2160" w:end="0"/>
    </w:pPr>
    <w:rPr>
      <w:rFonts w:ascii="Times New Roman" w:hAnsi="Times New Roman" w:cs="Times New Roman"/>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tabs>
        <w:tab w:val="clear" w:pos="720"/>
        <w:tab w:val="left" w:pos="1440" w:leader="none"/>
        <w:tab w:val="left" w:pos="4320" w:leader="none"/>
        <w:tab w:val="left" w:pos="5220" w:leader="none"/>
        <w:tab w:val="left" w:pos="9180" w:leader="none"/>
      </w:tabs>
      <w:jc w:val="both"/>
    </w:pPr>
    <w:rPr>
      <w:rFonts w:ascii="Times New Roman" w:hAnsi="Times New Roman" w:cs="Times New Roman"/>
      <w:sz w:val="24"/>
    </w:rPr>
  </w:style>
  <w:style w:type="paragraph" w:styleId="BodyTextIndent2">
    <w:name w:val="Body Text Indent 2"/>
    <w:basedOn w:val="Normal"/>
    <w:qFormat/>
    <w:pPr>
      <w:ind w:hanging="0" w:start="1440" w:end="0"/>
    </w:pPr>
    <w:rPr>
      <w:rFonts w:ascii="Times New Roman" w:hAnsi="Times New Roman" w:cs="Times New Roman"/>
      <w:sz w:val="24"/>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lockText">
    <w:name w:val="Block Text"/>
    <w:basedOn w:val="Normal"/>
    <w:qFormat/>
    <w:pPr>
      <w:ind w:hanging="0" w:start="-108" w:end="144"/>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2000-12-21T13:34:00Z</dcterms:created>
  <dc:creator>ECT</dc:creator>
  <dc:description/>
  <dc:language>en-CA</dc:language>
  <cp:lastModifiedBy>dhyvl</cp:lastModifiedBy>
  <cp:lastPrinted>2000-12-20T17:28:00Z</cp:lastPrinted>
  <dcterms:modified xsi:type="dcterms:W3CDTF">2000-12-21T13:34:00Z</dcterms:modified>
  <cp:revision>2</cp:revision>
  <dc:subject/>
  <dc:title>Services Agreement</dc:title>
</cp:coreProperties>
</file>