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bCs/>
          <w:sz w:val="22"/>
        </w:rPr>
        <w:t>15,000 MMBtu per Day.</w:t>
      </w:r>
    </w:p>
    <w:p>
      <w:pPr>
        <w:pStyle w:val="BodyTextIndent"/>
        <w:tabs>
          <w:tab w:val="left" w:pos="720" w:leader="none"/>
          <w:tab w:val="left" w:pos="8640" w:leader="none"/>
        </w:tabs>
        <w:rPr/>
      </w:pPr>
      <w:r>
        <w:rPr>
          <w:b/>
          <w:sz w:val="22"/>
        </w:rPr>
        <w:tab/>
        <w:t>MaxDQ:</w:t>
        <w:tab/>
      </w:r>
      <w:r>
        <w:rPr>
          <w:bCs/>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_______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The Secondary Delivery Point shall be the interconnection between Customer’s Burnside Plant facility and the Cypress Pipeline system in _______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w:t>
      </w:r>
      <w:r>
        <w:rPr>
          <w:rFonts w:cs="Arial" w:ascii="Arial" w:hAnsi="Arial"/>
          <w:bCs/>
          <w:sz w:val="22"/>
        </w:rPr>
        <w:t>The Contract Price for each Month during the period of delivery shall be the NYMEX Price, as hereinafter defined, plus $0.06 per MMBtu.  Additionally Customer shall purchase from Company at the Contract Price a volume equivalent to the 1.6% fuel volume changed Company by Koch.  The term “NYMEX Price” shall mean the settlement price of the NYMEX Gas futures contract for the last Trading Day of the applicable Delivery Month</w:t>
      </w:r>
      <w:r>
        <w:rPr>
          <w:rFonts w:cs="Arial" w:ascii="Arial" w:hAnsi="Arial"/>
          <w:sz w:val="22"/>
        </w:rPr>
        <w:t>.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1.  Company has obtained or will have obtained 15,000 MMBtu per day of Firm Transportation on the Koch Gateway Pipeline system (“Koch”).  In the event the volume received by Customer hereunder is less than such 15,000 MMBtu on any Day, Customer shall reimburse to Company any transportation demand charges incurred by Company from Koch relating to such under receipt of volumes; provided, however, Company shall endeavor to mitigate the amount of such costs to be reimbursed by Customer.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r>
        <w:br w:type="page"/>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bCs/>
          <w:sz w:val="22"/>
        </w:rPr>
        <w:t xml:space="preserve">2.  </w:t>
      </w:r>
      <w:r>
        <w:rPr>
          <w:rFonts w:cs="Arial" w:ascii="Arial" w:hAnsi="Arial"/>
          <w:sz w:val="22"/>
        </w:rPr>
        <w:t>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shall have changed its delivery meter located at the Primary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tab/>
        <w:t>3.  In the event that Koch changes its method of imbalance settlement from the monthly balancing basis currently applicable under Koch’s tariff, the parties agree that Company shall have the right to reopen any price to be applicable hereunder.</w:t>
      </w:r>
    </w:p>
    <w:p>
      <w:pPr>
        <w:pStyle w:val="Normal"/>
        <w:tabs>
          <w:tab w:val="clear" w:pos="720"/>
          <w:tab w:val="left" w:pos="3600" w:leader="none"/>
        </w:tabs>
        <w:jc w:val="both"/>
        <w:rPr>
          <w:rFonts w:ascii="Arial" w:hAnsi="Arial" w:cs="Arial"/>
          <w:sz w:val="22"/>
        </w:rPr>
      </w:pPr>
      <w:r>
        <w:rPr>
          <w:rFonts w:cs="Arial" w:ascii="Arial" w:hAnsi="Arial"/>
          <w:sz w:val="22"/>
        </w:rPr>
      </w:r>
    </w:p>
    <w:p>
      <w:pPr>
        <w:pStyle w:val="BodyText"/>
        <w:rPr/>
      </w:pPr>
      <w:r>
        <w:rPr/>
        <w:t>This Transaction Agreement is being provided pursuant to and in accordance with the ENFOLIO</w:t>
      </w:r>
      <w:r>
        <w:rPr>
          <w:rFonts w:cs="Arial"/>
        </w:rPr>
        <w:t>®</w:t>
      </w:r>
      <w:r>
        <w:rPr/>
        <w:t xml:space="preserve">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/mnt/main-storage/datasets/enron-docs/doc/2000_90crfm-369408b33791795c070c0ae3fc7780c8047d223a5af0e5d361ffbb37102f5225.doc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/mnt/main-storage/datasets/enron-docs/doc/2000_90crfm-369408b33791795c070c0ae3fc7780c8047d223a5af0e5d361ffbb37102f5225.doc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229819120"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2000-11-16T15:10:00Z</dcterms:created>
  <dc:creator>dhyvl</dc:creator>
  <dc:description/>
  <dc:language>en-CA</dc:language>
  <cp:lastModifiedBy>dhyvl</cp:lastModifiedBy>
  <cp:lastPrinted>2000-11-17T14:17:00Z</cp:lastPrinted>
  <dcterms:modified xsi:type="dcterms:W3CDTF">2000-11-17T17:47:00Z</dcterms:modified>
  <cp:revision>14</cp:revision>
  <dc:subject/>
  <dc:title>August 16, 2000</dc:title>
</cp:coreProperties>
</file>