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Normal"/>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sz w:val="20"/>
          <w:szCs w:val="20"/>
        </w:rPr>
        <w:t>January 4, 2001</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FootnoteText"/>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rPr>
          <w:rFonts w:ascii="Arial Narrow" w:hAnsi="Arial Narrow" w:eastAsia="Arial Narrow" w:cs="Arial Narrow"/>
          <w:sz w:val="20"/>
          <w:szCs w:val="20"/>
        </w:rPr>
      </w:pPr>
      <w:r>
        <w:rPr>
          <w:rFonts w:eastAsia="Arial Narrow" w:cs="Arial Narrow" w:ascii="Arial Narrow" w:hAnsi="Arial Narrow"/>
          <w:sz w:val="20"/>
          <w:szCs w:val="20"/>
        </w:rPr>
        <w:t>Crestar Energy Marketing US Inc.</w:t>
      </w:r>
    </w:p>
    <w:p>
      <w:pPr>
        <w:pStyle w:val="Normal"/>
        <w:rPr/>
      </w:pPr>
      <w:r>
        <w:rPr>
          <w:rFonts w:eastAsia="Arial Narrow" w:cs="Arial Narrow" w:ascii="Arial Narrow" w:hAnsi="Arial Narrow"/>
          <w:sz w:val="20"/>
          <w:szCs w:val="20"/>
        </w:rPr>
        <w:t>333-7</w:t>
      </w:r>
      <w:r>
        <w:rPr>
          <w:rFonts w:eastAsia="Arial Narrow" w:cs="Arial Narrow" w:ascii="Arial Narrow" w:hAnsi="Arial Narrow"/>
          <w:sz w:val="20"/>
          <w:szCs w:val="20"/>
          <w:vertAlign w:val="superscript"/>
        </w:rPr>
        <w:t>th</w:t>
      </w:r>
      <w:r>
        <w:rPr>
          <w:rFonts w:eastAsia="Arial Narrow" w:cs="Arial Narrow" w:ascii="Arial Narrow" w:hAnsi="Arial Narrow"/>
          <w:sz w:val="20"/>
          <w:szCs w:val="20"/>
        </w:rPr>
        <w:t xml:space="preserve"> Ave. S. W.</w:t>
      </w:r>
    </w:p>
    <w:p>
      <w:pPr>
        <w:pStyle w:val="Normal"/>
        <w:rPr>
          <w:rFonts w:ascii="Arial Narrow" w:hAnsi="Arial Narrow" w:eastAsia="Arial Narrow" w:cs="Arial Narrow"/>
          <w:b/>
          <w:bCs/>
          <w:sz w:val="20"/>
          <w:szCs w:val="20"/>
        </w:rPr>
      </w:pPr>
      <w:r>
        <w:rPr>
          <w:rFonts w:eastAsia="Arial Narrow" w:cs="Arial Narrow" w:ascii="Arial Narrow" w:hAnsi="Arial Narrow"/>
          <w:sz w:val="20"/>
          <w:szCs w:val="20"/>
        </w:rPr>
        <w:t>Calgary, Alberta T2P 4M8</w:t>
      </w:r>
    </w:p>
    <w:p>
      <w:pPr>
        <w:pStyle w:val="Norma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jc w:val="center"/>
        <w:rPr>
          <w:rFonts w:ascii="Arial Narrow" w:hAnsi="Arial Narrow" w:eastAsia="Arial Narrow" w:cs="Arial Narrow"/>
          <w:sz w:val="20"/>
          <w:szCs w:val="20"/>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"SPOT" CONFIRMATION--ENFOLIO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"SPOT" GENERAL TERMS &amp; CONDITIONS GOVERN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This Spot Confirmation shall confirm the Transaction agreed to and shall be binding between Crestar Energy Marketing US Inc. ("</w:t>
      </w:r>
      <w:r>
        <w:rPr>
          <w:rFonts w:eastAsia="Arial Narrow" w:cs="Arial Narrow" w:ascii="Arial Narrow" w:hAnsi="Arial Narrow"/>
          <w:sz w:val="20"/>
          <w:szCs w:val="20"/>
          <w:u w:val="single"/>
        </w:rPr>
        <w:t>Cresta</w:t>
      </w:r>
      <w:r>
        <w:rPr>
          <w:rFonts w:eastAsia="Arial Narrow" w:cs="Arial Narrow" w:ascii="Arial Narrow" w:hAnsi="Arial Narrow"/>
          <w:sz w:val="20"/>
          <w:szCs w:val="20"/>
        </w:rPr>
        <w:t>r" or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and Enron North America Corp. ("</w:t>
      </w:r>
      <w:r>
        <w:rPr>
          <w:rFonts w:eastAsia="Arial Narrow" w:cs="Arial Narrow" w:ascii="Arial Narrow" w:hAnsi="Arial Narrow"/>
          <w:sz w:val="20"/>
          <w:szCs w:val="20"/>
          <w:u w:val="single"/>
        </w:rPr>
        <w:t>Enron</w:t>
      </w:r>
      <w:r>
        <w:rPr>
          <w:rFonts w:eastAsia="Arial Narrow" w:cs="Arial Narrow" w:ascii="Arial Narrow" w:hAnsi="Arial Narrow"/>
          <w:sz w:val="20"/>
          <w:szCs w:val="20"/>
        </w:rPr>
        <w:t>" or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terms below.  Company shall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shall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TRANSACTION NUMBER:</w:t>
      </w:r>
      <w:r>
        <w:rPr>
          <w:rFonts w:eastAsia="Arial Narrow" w:cs="Arial Narrow" w:ascii="Arial Narrow" w:hAnsi="Arial Narrow"/>
          <w:sz w:val="20"/>
          <w:szCs w:val="20"/>
        </w:rPr>
        <w:t xml:space="preserve">  NV8176/370753</w:t>
      </w:r>
    </w:p>
    <w:p>
      <w:pPr>
        <w:pStyle w:val="Normal"/>
        <w:tabs>
          <w:tab w:val="clear" w:pos="720"/>
          <w:tab w:val="left" w:pos="8640" w:leader="none"/>
        </w:tabs>
        <w:ind w:hanging="5580" w:start="5580" w:end="0"/>
        <w:jc w:val="both"/>
        <w:rPr/>
      </w:pPr>
      <w:r>
        <w:rPr>
          <w:rFonts w:eastAsia="Arial Narrow" w:cs="Arial Narrow" w:ascii="Arial Narrow" w:hAnsi="Arial Narrow"/>
          <w:b/>
          <w:bCs/>
          <w:sz w:val="20"/>
          <w:szCs w:val="20"/>
        </w:rPr>
        <w:t>TIER OF GAS:</w:t>
      </w:r>
      <w:r>
        <w:rPr>
          <w:rFonts w:eastAsia="Arial Narrow" w:cs="Arial Narrow" w:ascii="Arial Narrow" w:hAnsi="Arial Narrow"/>
          <w:sz w:val="20"/>
          <w:szCs w:val="20"/>
        </w:rPr>
        <w:t xml:space="preserve">  Tier 1 Interruptible Gas  (Authorized Overrun Service)</w:t>
      </w:r>
    </w:p>
    <w:p>
      <w:pPr>
        <w:pStyle w:val="Normal"/>
        <w:tabs>
          <w:tab w:val="clear" w:pos="720"/>
          <w:tab w:val="left" w:pos="8640" w:leader="none"/>
        </w:tabs>
        <w:jc w:val="both"/>
        <w:rPr/>
      </w:pPr>
      <w:r>
        <w:rPr>
          <w:rFonts w:eastAsia="Arial Narrow" w:cs="Arial Narrow" w:ascii="Arial Narrow" w:hAnsi="Arial Narrow"/>
          <w:b/>
          <w:bCs/>
          <w:sz w:val="20"/>
          <w:szCs w:val="20"/>
        </w:rPr>
        <w:t xml:space="preserve">DCQ (IN MMBTUS): </w:t>
      </w:r>
      <w:r>
        <w:rPr>
          <w:rFonts w:eastAsia="Arial Narrow" w:cs="Arial Narrow" w:ascii="Arial Narrow" w:hAnsi="Arial Narrow"/>
          <w:sz w:val="20"/>
          <w:szCs w:val="20"/>
        </w:rPr>
        <w:t xml:space="preserve"> A variable quantity between 0 MMBtu per day and 20,000 MMBtu per day based on Alliance authorized overrun service ("AOS") published daily.</w:t>
      </w:r>
    </w:p>
    <w:p>
      <w:pPr>
        <w:pStyle w:val="Normal"/>
        <w:tabs>
          <w:tab w:val="clear" w:pos="720"/>
          <w:tab w:val="left" w:pos="8640" w:leader="none"/>
        </w:tabs>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The interconnect of ANR Pipeline Co. (Joliet) and Alliance Pipeline Ltd. (“</w:t>
      </w:r>
      <w:r>
        <w:rPr>
          <w:rFonts w:eastAsia="Arial Narrow" w:cs="Arial Narrow" w:ascii="Arial Narrow" w:hAnsi="Arial Narrow"/>
          <w:sz w:val="20"/>
          <w:szCs w:val="20"/>
          <w:u w:val="single"/>
        </w:rPr>
        <w:t>Alliance</w:t>
      </w:r>
      <w:r>
        <w:rPr>
          <w:rFonts w:eastAsia="Arial Narrow" w:cs="Arial Narrow" w:ascii="Arial Narrow" w:hAnsi="Arial Narrow"/>
          <w:sz w:val="20"/>
          <w:szCs w:val="20"/>
        </w:rPr>
        <w:t>”)</w:t>
      </w:r>
    </w:p>
    <w:p>
      <w:pPr>
        <w:pStyle w:val="Normal"/>
        <w:tabs>
          <w:tab w:val="clear" w:pos="720"/>
          <w:tab w:val="left" w:pos="8640" w:leader="none"/>
        </w:tabs>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 November 1, 2000 through October 31, 2001</w:t>
      </w:r>
    </w:p>
    <w:p>
      <w:pPr>
        <w:pStyle w:val="Normal"/>
        <w:jc w:val="both"/>
        <w:rPr/>
      </w:pPr>
      <w:r>
        <w:rPr>
          <w:rFonts w:eastAsia="Arial Narrow" w:cs="Arial Narrow" w:ascii="Arial Narrow" w:hAnsi="Arial Narrow"/>
          <w:b/>
          <w:bCs/>
          <w:sz w:val="20"/>
          <w:szCs w:val="20"/>
        </w:rPr>
        <w:t>CONTRACT PRICE (PER MMBTU):</w:t>
      </w:r>
      <w:r>
        <w:rPr>
          <w:rFonts w:eastAsia="Arial Narrow" w:cs="Arial Narrow" w:ascii="Arial Narrow" w:hAnsi="Arial Narrow"/>
          <w:sz w:val="20"/>
          <w:szCs w:val="20"/>
        </w:rPr>
        <w:t xml:space="preserve">  The Contract Price shall be equal to the Midpoint price published on each calendar day during the Period of Delivery under the heading “Daily Price Survey” in the Citygates Chicago-LDC’s, Large e-us section of </w:t>
      </w:r>
      <w:r>
        <w:rPr>
          <w:rFonts w:eastAsia="Arial Narrow" w:cs="Arial Narrow" w:ascii="Arial Narrow" w:hAnsi="Arial Narrow"/>
          <w:sz w:val="20"/>
          <w:szCs w:val="20"/>
          <w:u w:val="single"/>
        </w:rPr>
        <w:t>Gas Daily</w:t>
      </w:r>
      <w:r>
        <w:rPr>
          <w:rFonts w:eastAsia="Arial Narrow" w:cs="Arial Narrow" w:ascii="Arial Narrow" w:hAnsi="Arial Narrow"/>
          <w:sz w:val="20"/>
          <w:szCs w:val="20"/>
        </w:rPr>
        <w:t>, minus $0.005 per MMBtu or if a calendar day is not a business day then the Contract Price for such calendar day will be the Daily Midpoint price published on the next succeeding business day.</w:t>
      </w:r>
    </w:p>
    <w:p>
      <w:pPr>
        <w:pStyle w:val="Normal"/>
        <w:tabs>
          <w:tab w:val="clear" w:pos="720"/>
          <w:tab w:val="center" w:pos="10800" w:leader="none"/>
        </w:tabs>
        <w:jc w:val="both"/>
        <w:rPr/>
      </w:pPr>
      <w:r>
        <w:rPr>
          <w:rFonts w:eastAsia="Arial Narrow" w:cs="Arial Narrow" w:ascii="Arial Narrow" w:hAnsi="Arial Narrow"/>
          <w:b/>
          <w:bCs/>
          <w:sz w:val="20"/>
          <w:szCs w:val="20"/>
        </w:rPr>
        <w:t xml:space="preserve">OTHER TERMS: </w:t>
      </w:r>
      <w:r>
        <w:rPr>
          <w:rFonts w:eastAsia="Arial Narrow" w:cs="Arial Narrow" w:ascii="Arial Narrow" w:hAnsi="Arial Narrow"/>
          <w:sz w:val="20"/>
          <w:szCs w:val="20"/>
        </w:rPr>
        <w:t xml:space="preserve"> Notwithstanding anything to the contrary in the Enfolio Spot General Terms &amp; Conditions, on each nomination day, Alliance will notify Customer of those quantities, if any, that will be available for transportation under Alliance’s Authorized Overrun Service (“AOS”).  Customer shall sell such AOS gas to Company.  In the event that such AOS gas in not economically viable for Crestar to sell in Chicago (economic viability will be determined by Crestar based on the AECO Daily and Chicago Daily market prices), then Customer shall not be obligated to sell nor Company obligated to purchase such AOS quantities.</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20"/>
          <w:tab w:val="center" w:pos="10800" w:leader="none"/>
        </w:tabs>
        <w:jc w:val="both"/>
        <w:rPr/>
      </w:pPr>
      <w:r>
        <w:rPr>
          <w:rFonts w:eastAsia="Arial Narrow" w:cs="Arial Narrow" w:ascii="Arial Narrow" w:hAnsi="Arial Narrow"/>
          <w:sz w:val="20"/>
          <w:szCs w:val="20"/>
        </w:rPr>
        <w:t>Crestar must notify Enron of the AOS volumes scheduled to flow the next Gas Day by 9:00 a.m. MST (the “1</w:t>
      </w:r>
      <w:r>
        <w:rPr>
          <w:rFonts w:eastAsia="Arial Narrow" w:cs="Arial Narrow" w:ascii="Arial Narrow" w:hAnsi="Arial Narrow"/>
          <w:sz w:val="20"/>
          <w:szCs w:val="20"/>
          <w:vertAlign w:val="superscript"/>
        </w:rPr>
        <w:t>st</w:t>
      </w:r>
      <w:r>
        <w:rPr>
          <w:rFonts w:eastAsia="Arial Narrow" w:cs="Arial Narrow" w:ascii="Arial Narrow" w:hAnsi="Arial Narrow"/>
          <w:sz w:val="20"/>
          <w:szCs w:val="20"/>
        </w:rPr>
        <w:t xml:space="preserve"> GISB Nomination Cycle”).  Otherwise, Enron will not be obligated to purchase such AOS volume.</w:t>
      </w:r>
    </w:p>
    <w:p>
      <w:pPr>
        <w:pStyle w:val="Normal"/>
        <w:tabs>
          <w:tab w:val="clear" w:pos="720"/>
          <w:tab w:val="center" w:pos="10800" w:leader="none"/>
        </w:tabs>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tabs>
          <w:tab w:val="clear" w:pos="720"/>
          <w:tab w:val="center" w:pos="10800" w:leader="none"/>
        </w:tabs>
        <w:jc w:val="both"/>
        <w:rPr/>
      </w:pPr>
      <w:r>
        <w:rPr>
          <w:rFonts w:eastAsia="Arial Narrow" w:cs="Arial Narrow" w:ascii="Arial Narrow" w:hAnsi="Arial Narrow"/>
          <w:sz w:val="20"/>
          <w:szCs w:val="20"/>
        </w:rPr>
        <w:t>If Crestar nominates such AOS volume prior to the 1</w:t>
      </w:r>
      <w:r>
        <w:rPr>
          <w:rFonts w:eastAsia="Arial Narrow" w:cs="Arial Narrow" w:ascii="Arial Narrow" w:hAnsi="Arial Narrow"/>
          <w:sz w:val="20"/>
          <w:szCs w:val="20"/>
          <w:vertAlign w:val="superscript"/>
        </w:rPr>
        <w:t>st</w:t>
      </w:r>
      <w:r>
        <w:rPr>
          <w:rFonts w:eastAsia="Arial Narrow" w:cs="Arial Narrow" w:ascii="Arial Narrow" w:hAnsi="Arial Narrow"/>
          <w:sz w:val="20"/>
          <w:szCs w:val="20"/>
        </w:rPr>
        <w:t xml:space="preserve"> GISB nomination cycle for the next Gas Day, </w:t>
      </w:r>
      <w:r>
        <w:rPr>
          <w:rFonts w:eastAsia="Arial Narrow" w:cs="Arial Narrow" w:ascii="Arial Narrow" w:hAnsi="Arial Narrow"/>
          <w:color w:val="000000"/>
          <w:sz w:val="20"/>
          <w:szCs w:val="20"/>
        </w:rPr>
        <w:t>and Enron receives the notification of the nomination at least 30 minutes prior to the 1st GISB nomination cycle deadline,</w:t>
      </w:r>
      <w:r>
        <w:rPr>
          <w:rFonts w:eastAsia="Arial Narrow" w:cs="Arial Narrow" w:ascii="Arial Narrow" w:hAnsi="Arial Narrow"/>
          <w:sz w:val="20"/>
          <w:szCs w:val="20"/>
        </w:rPr>
        <w:t xml:space="preserve"> then such AOS volume will be deemed to be Tier 3 Firm Gas.  Not withstanding anything to the contrary in the Enfolio</w:t>
      </w:r>
      <w:r>
        <w:rPr>
          <w:rFonts w:eastAsia="Arial Narrow" w:cs="Arial Narrow" w:ascii="Arial Narrow" w:hAnsi="Arial Narrow"/>
          <w:position w:val="6"/>
          <w:sz w:val="20"/>
          <w:szCs w:val="20"/>
        </w:rPr>
        <w:t>®</w:t>
      </w:r>
      <w:r>
        <w:rPr>
          <w:rFonts w:eastAsia="Arial Narrow" w:cs="Arial Narrow" w:ascii="Arial Narrow" w:hAnsi="Arial Narrow"/>
          <w:sz w:val="20"/>
          <w:szCs w:val="20"/>
        </w:rPr>
        <w:t xml:space="preserve"> "Spot" General Terms &amp; Conditions, Section 4, Force Majeure, does not apply to this Transaction.</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t>This Spot Confirmation is being provided pursuant to and in accordance with the Enfolio Spot General Terms &amp; Conditions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within 10 days of receipt of same.</w:t>
      </w:r>
    </w:p>
    <w:p>
      <w:pPr>
        <w:pStyle w:val="Norma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sz w:val="20"/>
          <w:szCs w:val="20"/>
        </w:rPr>
        <w:t>Neither Party shall disclose the terms of this Transaction to a third party (other than the Party's and its affiliates' employees, lenders, counsel</w:t>
      </w:r>
      <w:r>
        <w:rPr>
          <w:rFonts w:eastAsia="Arial Narrow" w:cs="Arial Narrow" w:ascii="Arial Narrow" w:hAnsi="Arial Narrow"/>
          <w:sz w:val="18"/>
          <w:szCs w:val="18"/>
        </w:rPr>
        <w:t xml:space="preserve">, </w:t>
      </w:r>
      <w:r>
        <w:rPr>
          <w:rFonts w:eastAsia="Arial Narrow" w:cs="Arial Narrow" w:ascii="Arial Narrow" w:hAnsi="Arial Narrow"/>
          <w:sz w:val="20"/>
          <w:szCs w:val="20"/>
        </w:rPr>
        <w:t>accountants or prospective purchasers of any rights under any Transactions</w:t>
      </w:r>
      <w:r>
        <w:rPr>
          <w:rFonts w:eastAsia="Arial Narrow" w:cs="Arial Narrow" w:ascii="Arial Narrow" w:hAnsi="Arial Narrow"/>
          <w:sz w:val="18"/>
          <w:szCs w:val="18"/>
        </w:rPr>
        <w:t xml:space="preserve"> </w:t>
      </w:r>
      <w:r>
        <w:rPr>
          <w:rFonts w:eastAsia="Arial Narrow" w:cs="Arial Narrow" w:ascii="Arial Narrow" w:hAnsi="Arial Narrow"/>
          <w:sz w:val="20"/>
          <w:szCs w:val="20"/>
        </w:rPr>
        <w:t xml:space="preserve">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w:t>
      </w:r>
      <w:r>
        <w:rPr>
          <w:rFonts w:eastAsia="Arial Narrow" w:cs="Arial Narrow" w:ascii="Arial Narrow" w:hAnsi="Arial Narrow"/>
          <w:sz w:val="18"/>
          <w:szCs w:val="18"/>
        </w:rPr>
        <w:t>Enfolio</w:t>
      </w:r>
      <w:r>
        <w:rPr>
          <w:rFonts w:eastAsia="Arial Narrow" w:cs="Arial Narrow" w:ascii="Arial Narrow" w:hAnsi="Arial Narrow"/>
          <w:position w:val="6"/>
          <w:sz w:val="18"/>
          <w:szCs w:val="18"/>
        </w:rPr>
        <w:t>®</w:t>
      </w:r>
      <w:r>
        <w:rPr>
          <w:rFonts w:eastAsia="Arial Narrow" w:cs="Arial Narrow" w:ascii="Arial Narrow" w:hAnsi="Arial Narrow"/>
          <w:sz w:val="18"/>
          <w:szCs w:val="18"/>
        </w:rPr>
        <w:t xml:space="preserve"> "Spot" General Terms &amp; Conditions</w:t>
      </w:r>
      <w:r>
        <w:rPr>
          <w:rFonts w:eastAsia="Arial Narrow" w:cs="Arial Narrow" w:ascii="Arial Narrow" w:hAnsi="Arial Narrow"/>
          <w:sz w:val="20"/>
          <w:szCs w:val="20"/>
        </w:rPr>
        <w:t xml:space="preserve">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Notwithstanding anything to the contrary, Company hereby agrees that during the period prior to March 31, 2001, Customer may disclose the terms to this Transaction to employees of BP Canada Energy Company and/or BP Canada Energy Marketing Corp. provided, such employees agree to keep the terms of the Transaction confidential.</w:t>
      </w:r>
    </w:p>
    <w:p>
      <w:pPr>
        <w:pStyle w:val="Normal"/>
        <w:jc w:val="both"/>
        <w:rPr>
          <w:rFonts w:ascii="Arial Narrow" w:hAnsi="Arial Narrow" w:eastAsia="Arial Narrow" w:cs="Arial Narrow"/>
          <w:sz w:val="16"/>
          <w:szCs w:val="16"/>
        </w:rPr>
      </w:pPr>
      <w:r>
        <w:rPr>
          <w:rFonts w:eastAsia="Arial Narrow" w:cs="Arial Narrow" w:ascii="Arial Narrow" w:hAnsi="Arial Narrow"/>
          <w:sz w:val="16"/>
          <w:szCs w:val="16"/>
        </w:rPr>
      </w:r>
      <w:r>
        <w:br w:type="page"/>
      </w:r>
    </w:p>
    <w:p>
      <w:pPr>
        <w:pStyle w:val="Normal"/>
        <w:jc w:val="center"/>
        <w:rPr/>
      </w:pPr>
      <w:r>
        <w:rPr>
          <w:rFonts w:eastAsia="Arial Narrow" w:cs="Arial Narrow" w:ascii="Arial Narrow" w:hAnsi="Arial Narrow"/>
          <w:b/>
          <w:bCs/>
          <w:sz w:val="18"/>
          <w:szCs w:val="18"/>
        </w:rPr>
        <w:t>ENFOLIO</w:t>
      </w:r>
      <w:r>
        <w:rPr>
          <w:rFonts w:eastAsia="Arial Narrow" w:cs="Arial Narrow" w:ascii="Arial Narrow" w:hAnsi="Arial Narrow"/>
          <w:b/>
          <w:bCs/>
          <w:position w:val="6"/>
          <w:sz w:val="18"/>
          <w:szCs w:val="18"/>
        </w:rPr>
        <w:t>®</w:t>
      </w:r>
      <w:r>
        <w:rPr>
          <w:rFonts w:eastAsia="Arial Narrow" w:cs="Arial Narrow" w:ascii="Arial Narrow" w:hAnsi="Arial Narrow"/>
          <w:b/>
          <w:bCs/>
          <w:sz w:val="18"/>
          <w:szCs w:val="18"/>
        </w:rPr>
        <w:t xml:space="preserve"> "SPOT" GENERAL TERMS &amp; CONDITIONS  </w:t>
      </w:r>
    </w:p>
    <w:p>
      <w:pPr>
        <w:pStyle w:val="Normal"/>
        <w:jc w:val="both"/>
        <w:rPr/>
      </w:pPr>
      <w:r>
        <w:rPr>
          <w:rFonts w:eastAsia="Arial Narrow" w:cs="Arial Narrow" w:ascii="Arial Narrow" w:hAnsi="Arial Narrow"/>
          <w:b/>
          <w:bCs/>
          <w:sz w:val="18"/>
          <w:szCs w:val="18"/>
          <w:u w:val="single"/>
        </w:rPr>
        <w:t>1. Transactions</w:t>
      </w:r>
      <w:r>
        <w:rPr>
          <w:rFonts w:eastAsia="Arial Narrow" w:cs="Arial Narrow" w:ascii="Arial Narrow" w:hAnsi="Arial Narrow"/>
          <w:sz w:val="18"/>
          <w:szCs w:val="18"/>
        </w:rPr>
        <w:t>. The parties shall engage in transactions in accordance with these Enfolio terms and conditions (this "</w:t>
      </w:r>
      <w:r>
        <w:rPr>
          <w:rFonts w:eastAsia="Arial Narrow" w:cs="Arial Narrow" w:ascii="Arial Narrow" w:hAnsi="Arial Narrow"/>
          <w:sz w:val="18"/>
          <w:szCs w:val="18"/>
          <w:u w:val="single"/>
        </w:rPr>
        <w:t>Spot GTC</w:t>
      </w:r>
      <w:r>
        <w:rPr>
          <w:rFonts w:eastAsia="Arial Narrow" w:cs="Arial Narrow" w:ascii="Arial Narrow" w:hAnsi="Arial Narrow"/>
          <w:sz w:val="18"/>
          <w:szCs w:val="18"/>
        </w:rPr>
        <w:t>") and Enfolio confirmations of transactions ("</w:t>
      </w:r>
      <w:r>
        <w:rPr>
          <w:rFonts w:eastAsia="Arial Narrow" w:cs="Arial Narrow" w:ascii="Arial Narrow" w:hAnsi="Arial Narrow"/>
          <w:sz w:val="18"/>
          <w:szCs w:val="18"/>
          <w:u w:val="single"/>
        </w:rPr>
        <w:t>Spot Confirmations</w:t>
      </w:r>
      <w:r>
        <w:rPr>
          <w:rFonts w:eastAsia="Arial Narrow" w:cs="Arial Narrow" w:ascii="Arial Narrow" w:hAnsi="Arial Narrow"/>
          <w:sz w:val="18"/>
          <w:szCs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eastAsia="Arial Narrow" w:cs="Arial Narrow" w:ascii="Arial Narrow" w:hAnsi="Arial Narrow"/>
          <w:caps/>
          <w:sz w:val="18"/>
          <w:szCs w:val="18"/>
        </w:rPr>
        <w:t xml:space="preserve">  </w:t>
      </w:r>
      <w:r>
        <w:rPr>
          <w:rFonts w:eastAsia="Arial Narrow" w:cs="Arial Narrow" w:ascii="Arial Narrow" w:hAnsi="Arial Narrow"/>
          <w:b/>
          <w:bCs/>
          <w:sz w:val="18"/>
          <w:szCs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eastAsia="Arial Narrow" w:cs="Arial Narrow" w:ascii="Arial Narrow" w:hAnsi="Arial Narrow"/>
          <w:sz w:val="18"/>
          <w:szCs w:val="18"/>
        </w:rPr>
        <w:t xml:space="preserve">  The </w:t>
      </w:r>
      <w:r>
        <w:rPr>
          <w:rFonts w:eastAsia="Arial Narrow" w:cs="Arial Narrow" w:ascii="Arial Narrow" w:hAnsi="Arial Narrow"/>
          <w:b/>
          <w:bCs/>
          <w:sz w:val="18"/>
          <w:szCs w:val="18"/>
        </w:rPr>
        <w:t>DCQ</w:t>
      </w:r>
      <w:r>
        <w:rPr>
          <w:rFonts w:eastAsia="Arial Narrow" w:cs="Arial Narrow" w:ascii="Arial Narrow" w:hAnsi="Arial Narrow"/>
          <w:sz w:val="18"/>
          <w:szCs w:val="18"/>
        </w:rPr>
        <w:t xml:space="preserve"> shall be scheduled by </w:t>
      </w:r>
      <w:r>
        <w:rPr>
          <w:rFonts w:eastAsia="Arial Narrow" w:cs="Arial Narrow" w:ascii="Arial Narrow" w:hAnsi="Arial Narrow"/>
          <w:b/>
          <w:bCs/>
          <w:sz w:val="18"/>
          <w:szCs w:val="18"/>
        </w:rPr>
        <w:t xml:space="preserve">Seller </w:t>
      </w:r>
      <w:r>
        <w:rPr>
          <w:rFonts w:eastAsia="Arial Narrow" w:cs="Arial Narrow" w:ascii="Arial Narrow" w:hAnsi="Arial Narrow"/>
          <w:sz w:val="18"/>
          <w:szCs w:val="18"/>
        </w:rPr>
        <w:t xml:space="preserve">and </w:t>
      </w:r>
      <w:r>
        <w:rPr>
          <w:rFonts w:eastAsia="Arial Narrow" w:cs="Arial Narrow" w:ascii="Arial Narrow" w:hAnsi="Arial Narrow"/>
          <w:b/>
          <w:bCs/>
          <w:sz w:val="18"/>
          <w:szCs w:val="18"/>
        </w:rPr>
        <w:t xml:space="preserve">Buyer </w:t>
      </w:r>
      <w:r>
        <w:rPr>
          <w:rFonts w:eastAsia="Arial Narrow" w:cs="Arial Narrow" w:ascii="Arial Narrow" w:hAnsi="Arial Narrow"/>
          <w:sz w:val="18"/>
          <w:szCs w:val="18"/>
        </w:rPr>
        <w:t xml:space="preserve">at the </w:t>
      </w:r>
      <w:r>
        <w:rPr>
          <w:rFonts w:eastAsia="Arial Narrow" w:cs="Arial Narrow" w:ascii="Arial Narrow" w:hAnsi="Arial Narrow"/>
          <w:b/>
          <w:bCs/>
          <w:sz w:val="18"/>
          <w:szCs w:val="18"/>
        </w:rPr>
        <w:t>Delivery Point(s)</w:t>
      </w:r>
      <w:r>
        <w:rPr>
          <w:rFonts w:eastAsia="Arial Narrow" w:cs="Arial Narrow" w:ascii="Arial Narrow" w:hAnsi="Arial Narrow"/>
          <w:sz w:val="18"/>
          <w:szCs w:val="18"/>
        </w:rPr>
        <w:t xml:space="preserve"> during the </w:t>
      </w:r>
      <w:r>
        <w:rPr>
          <w:rFonts w:eastAsia="Arial Narrow" w:cs="Arial Narrow" w:ascii="Arial Narrow" w:hAnsi="Arial Narrow"/>
          <w:b/>
          <w:bCs/>
          <w:sz w:val="18"/>
          <w:szCs w:val="18"/>
        </w:rPr>
        <w:t>Period of Delivery</w:t>
      </w:r>
      <w:r>
        <w:rPr>
          <w:rFonts w:eastAsia="Arial Narrow" w:cs="Arial Narrow" w:ascii="Arial Narrow" w:hAnsi="Arial Narrow"/>
          <w:sz w:val="18"/>
          <w:szCs w:val="18"/>
        </w:rPr>
        <w:t xml:space="preserve"> and at the </w:t>
      </w:r>
      <w:r>
        <w:rPr>
          <w:rFonts w:eastAsia="Arial Narrow" w:cs="Arial Narrow" w:ascii="Arial Narrow" w:hAnsi="Arial Narrow"/>
          <w:b/>
          <w:bCs/>
          <w:sz w:val="18"/>
          <w:szCs w:val="18"/>
        </w:rPr>
        <w:t xml:space="preserve">Contract Price </w:t>
      </w:r>
      <w:r>
        <w:rPr>
          <w:rFonts w:eastAsia="Arial Narrow" w:cs="Arial Narrow" w:ascii="Arial Narrow" w:hAnsi="Arial Narrow"/>
          <w:sz w:val="18"/>
          <w:szCs w:val="18"/>
        </w:rPr>
        <w:t>as provided in each transaction.  Each transaction shall indicate the "</w:t>
      </w:r>
      <w:r>
        <w:rPr>
          <w:rFonts w:eastAsia="Arial Narrow" w:cs="Arial Narrow" w:ascii="Arial Narrow" w:hAnsi="Arial Narrow"/>
          <w:sz w:val="18"/>
          <w:szCs w:val="18"/>
          <w:u w:val="single"/>
        </w:rPr>
        <w:t>Tier</w:t>
      </w:r>
      <w:r>
        <w:rPr>
          <w:rFonts w:eastAsia="Arial Narrow" w:cs="Arial Narrow" w:ascii="Arial Narrow" w:hAnsi="Arial Narrow"/>
          <w:sz w:val="18"/>
          <w:szCs w:val="18"/>
        </w:rPr>
        <w:t>" of gas applicable to the DCQ during the Period of Delivery:</w:t>
      </w:r>
    </w:p>
    <w:p>
      <w:pPr>
        <w:pStyle w:val="Normal"/>
        <w:ind w:end="-36"/>
        <w:jc w:val="both"/>
        <w:rPr/>
      </w:pPr>
      <w:r>
        <w:rPr>
          <w:rFonts w:eastAsia="Arial Narrow" w:cs="Arial Narrow" w:ascii="Arial Narrow" w:hAnsi="Arial Narrow"/>
          <w:sz w:val="18"/>
          <w:szCs w:val="18"/>
        </w:rPr>
        <w:t>"</w:t>
      </w:r>
      <w:r>
        <w:rPr>
          <w:rFonts w:eastAsia="Arial Narrow" w:cs="Arial Narrow" w:ascii="Arial Narrow" w:hAnsi="Arial Narrow"/>
          <w:b/>
          <w:bCs/>
          <w:sz w:val="18"/>
          <w:szCs w:val="18"/>
          <w:u w:val="single"/>
        </w:rPr>
        <w:t>Interruptible Gas</w:t>
      </w:r>
      <w:r>
        <w:rPr>
          <w:rFonts w:eastAsia="Arial Narrow" w:cs="Arial Narrow" w:ascii="Arial Narrow" w:hAnsi="Arial Narrow"/>
          <w:sz w:val="18"/>
          <w:szCs w:val="18"/>
        </w:rPr>
        <w:t>"--subject hereto, both parties may without liability interrupt, in whole or in part, scheduling the DCQ in accordance with the provisions hereof for any reason; or "</w:t>
      </w:r>
      <w:r>
        <w:rPr>
          <w:rFonts w:eastAsia="Arial Narrow" w:cs="Arial Narrow" w:ascii="Arial Narrow" w:hAnsi="Arial Narrow"/>
          <w:b/>
          <w:bCs/>
          <w:sz w:val="18"/>
          <w:szCs w:val="18"/>
          <w:u w:val="single"/>
        </w:rPr>
        <w:t>Firm Gas</w:t>
      </w:r>
      <w:r>
        <w:rPr>
          <w:rFonts w:eastAsia="Arial Narrow" w:cs="Arial Narrow" w:ascii="Arial Narrow" w:hAnsi="Arial Narrow"/>
          <w:sz w:val="18"/>
          <w:szCs w:val="18"/>
        </w:rPr>
        <w:t xml:space="preserve">"--subject hereto, both parties are firmly obligated to schedule the DCQ for a period less than or equal to one month. </w:t>
      </w:r>
    </w:p>
    <w:p>
      <w:pPr>
        <w:pStyle w:val="Normal"/>
        <w:jc w:val="both"/>
        <w:rPr/>
      </w:pPr>
      <w:r>
        <w:rPr>
          <w:rFonts w:eastAsia="Arial Narrow" w:cs="Arial Narrow" w:ascii="Arial Narrow" w:hAnsi="Arial Narrow"/>
          <w:b/>
          <w:bCs/>
          <w:sz w:val="18"/>
          <w:szCs w:val="18"/>
          <w:u w:val="single"/>
        </w:rPr>
        <w:t>2. Quantity Obligations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b/>
          <w:bCs/>
          <w:sz w:val="18"/>
          <w:szCs w:val="18"/>
          <w:u w:val="single"/>
        </w:rPr>
        <w:t>2.1. Tier 1 Interruptible Gas</w:t>
      </w:r>
      <w:r>
        <w:rPr>
          <w:rFonts w:eastAsia="Arial Narrow" w:cs="Arial Narrow" w:ascii="Arial Narrow" w:hAnsi="Arial Narrow"/>
          <w:sz w:val="18"/>
          <w:szCs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eastAsia="Arial Narrow" w:cs="Arial Narrow" w:ascii="Arial Narrow" w:hAnsi="Arial Narrow"/>
          <w:b/>
          <w:bCs/>
          <w:sz w:val="18"/>
          <w:szCs w:val="18"/>
          <w:u w:val="single"/>
        </w:rPr>
        <w:t>2.2. Interruption Without Notice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Should an interruption occur without the required notice, the interrupting party shall be liable for and pay all associated penalties and cashout costs and losses charged by either transporter.  </w:t>
      </w:r>
    </w:p>
    <w:p>
      <w:pPr>
        <w:pStyle w:val="Normal"/>
        <w:jc w:val="both"/>
        <w:rPr>
          <w:rFonts w:ascii="Arial Narrow" w:hAnsi="Arial Narrow" w:eastAsia="Arial Narrow" w:cs="Arial Narrow"/>
          <w:sz w:val="18"/>
          <w:szCs w:val="18"/>
        </w:rPr>
      </w:pPr>
      <w:r>
        <w:rPr>
          <w:rFonts w:eastAsia="Arial Narrow" w:cs="Arial Narrow" w:ascii="Arial Narrow" w:hAnsi="Arial Narrow"/>
          <w:b/>
          <w:bCs/>
          <w:sz w:val="18"/>
          <w:szCs w:val="18"/>
          <w:u w:val="single"/>
        </w:rPr>
        <w:t>2.3. Tier 3 Firm Gas</w:t>
      </w:r>
      <w:r>
        <w:rPr>
          <w:rFonts w:eastAsia="Arial Narrow" w:cs="Arial Narrow" w:ascii="Arial Narrow" w:hAnsi="Arial Narrow"/>
          <w:sz w:val="18"/>
          <w:szCs w:val="18"/>
        </w:rPr>
        <w:t xml:space="preserve"> Each of Seller and Buyer shall schedule at the Delivery Point(s) each day on a firm basis a quantity of gas equal to the DCQ.  If on any day Seller fails to schedule the DCQ, then such occurrence shall constitute a "</w:t>
      </w:r>
      <w:r>
        <w:rPr>
          <w:rFonts w:eastAsia="Arial Narrow" w:cs="Arial Narrow" w:ascii="Arial Narrow" w:hAnsi="Arial Narrow"/>
          <w:sz w:val="18"/>
          <w:szCs w:val="18"/>
          <w:u w:val="single"/>
        </w:rPr>
        <w:t>Seller's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Seller's Deficiency Quantity</w:t>
      </w:r>
      <w:r>
        <w:rPr>
          <w:rFonts w:eastAsia="Arial Narrow" w:cs="Arial Narrow" w:ascii="Arial Narrow" w:hAnsi="Arial Narrow"/>
          <w:sz w:val="18"/>
          <w:szCs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eastAsia="Arial Narrow" w:cs="Arial Narrow" w:ascii="Arial Narrow" w:hAnsi="Arial Narrow"/>
          <w:sz w:val="18"/>
          <w:szCs w:val="18"/>
          <w:u w:val="single"/>
        </w:rPr>
        <w:t>Buyer's Deficiency Default</w:t>
      </w:r>
      <w:r>
        <w:rPr>
          <w:rFonts w:eastAsia="Arial Narrow" w:cs="Arial Narrow" w:ascii="Arial Narrow" w:hAnsi="Arial Narrow"/>
          <w:sz w:val="18"/>
          <w:szCs w:val="18"/>
        </w:rPr>
        <w:t>" and "</w:t>
      </w:r>
      <w:r>
        <w:rPr>
          <w:rFonts w:eastAsia="Arial Narrow" w:cs="Arial Narrow" w:ascii="Arial Narrow" w:hAnsi="Arial Narrow"/>
          <w:sz w:val="18"/>
          <w:szCs w:val="18"/>
          <w:u w:val="single"/>
        </w:rPr>
        <w:t>Buyer's Deficiency Quantity</w:t>
      </w:r>
      <w:r>
        <w:rPr>
          <w:rFonts w:eastAsia="Arial Narrow" w:cs="Arial Narrow" w:ascii="Arial Narrow" w:hAnsi="Arial Narrow"/>
          <w:sz w:val="18"/>
          <w:szCs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xml:space="preserve">" means (i) in the event of a Seller's Deficiency Default, the positive difference, if any, obtained by subtracting the Contract Price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Spot Price for the day in which the default occurred and (ii) in the event of a Buyer's Deficiency Default, the positive difference, if any, obtained by subtracting the Spot Price for the day in which the default occurred </w:t>
      </w:r>
      <w:r>
        <w:rPr>
          <w:rFonts w:eastAsia="Arial Narrow" w:cs="Arial Narrow" w:ascii="Arial Narrow" w:hAnsi="Arial Narrow"/>
          <w:sz w:val="18"/>
          <w:szCs w:val="18"/>
          <w:u w:val="single"/>
        </w:rPr>
        <w:t>from</w:t>
      </w:r>
      <w:r>
        <w:rPr>
          <w:rFonts w:eastAsia="Arial Narrow" w:cs="Arial Narrow" w:ascii="Arial Narrow" w:hAnsi="Arial Narrow"/>
          <w:sz w:val="18"/>
          <w:szCs w:val="18"/>
        </w:rPr>
        <w:t xml:space="preserve"> the Contract Price. </w:t>
      </w:r>
      <w:r>
        <w:rPr>
          <w:rFonts w:eastAsia="Arial Narrow" w:cs="Arial Narrow" w:ascii="Arial Narrow" w:hAnsi="Arial Narrow"/>
          <w:color w:val="000000"/>
          <w:sz w:val="18"/>
          <w:szCs w:val="18"/>
        </w:rPr>
        <w:t>"</w:t>
      </w:r>
      <w:r>
        <w:rPr>
          <w:rFonts w:eastAsia="Arial Narrow" w:cs="Arial Narrow" w:ascii="Arial Narrow" w:hAnsi="Arial Narrow"/>
          <w:color w:val="000000"/>
          <w:sz w:val="18"/>
          <w:szCs w:val="18"/>
          <w:u w:val="single"/>
        </w:rPr>
        <w:t>Spot Price</w:t>
      </w:r>
      <w:r>
        <w:rPr>
          <w:rFonts w:eastAsia="Arial Narrow" w:cs="Arial Narrow" w:ascii="Arial Narrow" w:hAnsi="Arial Narrow"/>
          <w:color w:val="000000"/>
          <w:sz w:val="18"/>
          <w:szCs w:val="18"/>
        </w:rPr>
        <w:t xml:space="preserve">" means the “Daily Midpoint” price set forth in </w:t>
      </w:r>
      <w:r>
        <w:rPr>
          <w:rFonts w:eastAsia="Arial Narrow" w:cs="Arial Narrow" w:ascii="Arial Narrow" w:hAnsi="Arial Narrow"/>
          <w:color w:val="000000"/>
          <w:sz w:val="18"/>
          <w:szCs w:val="18"/>
          <w:u w:val="single"/>
        </w:rPr>
        <w:t>Gas Daily</w:t>
      </w:r>
      <w:r>
        <w:rPr>
          <w:rFonts w:eastAsia="Arial Narrow" w:cs="Arial Narrow" w:ascii="Arial Narrow" w:hAnsi="Arial Narrow"/>
          <w:color w:val="000000"/>
          <w:sz w:val="18"/>
          <w:szCs w:val="18"/>
        </w:rPr>
        <w:t>® (Financial Energy Times),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eastAsia="Arial Narrow" w:cs="Arial Narrow" w:ascii="Arial Narrow" w:hAnsi="Arial Narrow"/>
          <w:b/>
          <w:bCs/>
          <w:sz w:val="18"/>
          <w:szCs w:val="18"/>
          <w:u w:val="single"/>
        </w:rPr>
        <w:t>3. Payments/Early Termination</w:t>
      </w:r>
      <w:r>
        <w:rPr>
          <w:rFonts w:eastAsia="Arial Narrow" w:cs="Arial Narrow" w:ascii="Arial Narrow" w:hAnsi="Arial Narrow"/>
          <w:sz w:val="18"/>
          <w:szCs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eastAsia="Arial Narrow" w:cs="Arial Narrow" w:ascii="Arial Narrow" w:hAnsi="Arial Narrow"/>
          <w:b/>
          <w:bCs/>
          <w:sz w:val="18"/>
          <w:szCs w:val="18"/>
          <w:u w:val="single"/>
        </w:rPr>
        <w:t>4. Force Majeure</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other than payment,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the obligations of the party giving such notice, to the extent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b/>
          <w:bCs/>
          <w:i/>
          <w:iCs/>
          <w:sz w:val="18"/>
          <w:szCs w:val="18"/>
          <w:u w:val="single"/>
        </w:rPr>
        <w:t>Force Majeure</w:t>
      </w:r>
      <w:r>
        <w:rPr>
          <w:rFonts w:eastAsia="Arial Narrow" w:cs="Arial Narrow" w:ascii="Arial Narrow" w:hAnsi="Arial Narrow"/>
          <w:sz w:val="18"/>
          <w:szCs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shall include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occurring with respect to the services of transporters.</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eastAsia="Arial Narrow" w:cs="Arial Narrow" w:ascii="Arial Narrow" w:hAnsi="Arial Narrow"/>
          <w:b/>
          <w:bCs/>
          <w:sz w:val="18"/>
          <w:szCs w:val="18"/>
          <w:u w:val="single"/>
        </w:rPr>
        <w:t>6. Title/Risk of Loss/Imbalances</w:t>
      </w:r>
      <w:r>
        <w:rPr>
          <w:rFonts w:eastAsia="Arial Narrow" w:cs="Arial Narrow" w:ascii="Arial Narrow" w:hAnsi="Arial Narrow"/>
          <w:sz w:val="18"/>
          <w:szCs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caps/>
          <w:sz w:val="18"/>
          <w:szCs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 xml:space="preserve">Differences between scheduled and actual quantities will be settled in cash or gas or by offset as agreed.  </w:t>
      </w:r>
    </w:p>
    <w:p>
      <w:pPr>
        <w:pStyle w:val="Normal"/>
        <w:jc w:val="both"/>
        <w:rPr/>
      </w:pPr>
      <w:r>
        <w:rPr>
          <w:rFonts w:eastAsia="Arial Narrow" w:cs="Arial Narrow" w:ascii="Arial Narrow" w:hAnsi="Arial Narrow"/>
          <w:b/>
          <w:bCs/>
          <w:sz w:val="18"/>
          <w:szCs w:val="18"/>
          <w:u w:val="single"/>
        </w:rPr>
        <w:t>7. Operations</w:t>
      </w:r>
      <w:r>
        <w:rPr>
          <w:rFonts w:eastAsia="Arial Narrow" w:cs="Arial Narrow" w:ascii="Arial Narrow" w:hAnsi="Arial Narrow"/>
          <w:sz w:val="18"/>
          <w:szCs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and with respect to Tier 3 Firm Gas, such Party (without affecting its liability under </w:t>
      </w:r>
      <w:r>
        <w:rPr>
          <w:rFonts w:eastAsia="Arial Narrow" w:cs="Arial Narrow" w:ascii="Arial Narrow" w:hAnsi="Arial Narrow"/>
          <w:sz w:val="18"/>
          <w:szCs w:val="18"/>
          <w:u w:val="single"/>
        </w:rPr>
        <w:t>Section 2</w:t>
      </w:r>
      <w:r>
        <w:rPr>
          <w:rFonts w:eastAsia="Arial Narrow" w:cs="Arial Narrow" w:ascii="Arial Narrow" w:hAnsi="Arial Narrow"/>
          <w:sz w:val="18"/>
          <w:szCs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eastAsia="Arial Narrow" w:cs="Arial Narrow" w:ascii="Arial Narrow" w:hAnsi="Arial Narrow"/>
          <w:sz w:val="18"/>
          <w:szCs w:val="18"/>
          <w:u w:val="single"/>
        </w:rPr>
        <w:t>OFO</w:t>
      </w:r>
      <w:r>
        <w:rPr>
          <w:rFonts w:eastAsia="Arial Narrow" w:cs="Arial Narrow" w:ascii="Arial Narrow" w:hAnsi="Arial Narrow"/>
          <w:sz w:val="18"/>
          <w:szCs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eastAsia="Arial Narrow" w:cs="Arial Narrow" w:ascii="Arial Narrow" w:hAnsi="Arial Narrow"/>
          <w:b/>
          <w:bCs/>
          <w:sz w:val="18"/>
          <w:szCs w:val="18"/>
          <w:u w:val="single"/>
        </w:rPr>
        <w:t>8. Arbitration.</w:t>
      </w:r>
      <w:r>
        <w:rPr>
          <w:rFonts w:eastAsia="Arial Narrow" w:cs="Arial Narrow" w:ascii="Arial Narrow" w:hAnsi="Arial Narrow"/>
          <w:sz w:val="18"/>
          <w:szCs w:val="18"/>
        </w:rPr>
        <w:t xml:space="preserve">  Any dispute relating to this Agreement shall be resolved by binding, self-administered arbitration pursuant to the Commercial Arbitration Rules of the </w:t>
      </w:r>
      <w:r>
        <w:rPr>
          <w:rFonts w:eastAsia="Arial Narrow" w:cs="Arial Narrow" w:ascii="Arial Narrow" w:hAnsi="Arial Narrow"/>
          <w:sz w:val="18"/>
          <w:szCs w:val="18"/>
          <w:u w:val="single"/>
        </w:rPr>
        <w:t>American Arbitration Association ("AAA")</w:t>
      </w:r>
      <w:r>
        <w:rPr>
          <w:rFonts w:eastAsia="Arial Narrow" w:cs="Arial Narrow" w:ascii="Arial Narrow" w:hAnsi="Arial Narrow"/>
          <w:sz w:val="18"/>
          <w:szCs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clear" w:pos="720"/>
          <w:tab w:val="left" w:pos="4050" w:leader="none"/>
          <w:tab w:val="left" w:pos="5400" w:leader="none"/>
          <w:tab w:val="left" w:pos="7290" w:leader="none"/>
          <w:tab w:val="left" w:pos="9360" w:leader="none"/>
        </w:tabs>
        <w:jc w:val="both"/>
        <w:rPr/>
      </w:pPr>
      <w:r>
        <w:rPr>
          <w:rFonts w:eastAsia="Arial Narrow" w:cs="Arial Narrow" w:ascii="Arial Narrow" w:hAnsi="Arial Narrow"/>
          <w:b/>
          <w:bCs/>
          <w:caps/>
          <w:sz w:val="18"/>
          <w:szCs w:val="18"/>
          <w:u w:val="single"/>
        </w:rPr>
        <w:t>9. Damages</w:t>
      </w:r>
      <w:r>
        <w:rPr>
          <w:rFonts w:eastAsia="Arial Narrow" w:cs="Arial Narrow" w:ascii="Arial Narrow" w:hAnsi="Arial Narrow"/>
          <w:caps/>
          <w:sz w:val="18"/>
          <w:szCs w:val="18"/>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rFonts w:ascii="Arial Narrow" w:hAnsi="Arial Narrow" w:eastAsia="Arial Narrow" w:cs="Arial Narrow"/>
          <w:caps/>
          <w:sz w:val="16"/>
          <w:szCs w:val="16"/>
        </w:rPr>
      </w:pPr>
      <w:r>
        <w:rPr>
          <w:rFonts w:eastAsia="Arial Narrow" w:cs="Arial Narrow" w:ascii="Arial Narrow" w:hAnsi="Arial Narrow"/>
          <w:caps/>
          <w:sz w:val="16"/>
          <w:szCs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/mnt/main-storage/datasets/enron-docs/doc/2000_89crfm.doc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/mnt/main-storage/datasets/enron-docs/doc/2000_89crfm.doc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2000-11-07T17:44:00Z</dcterms:created>
  <dc:creator>vv24f</dc:creator>
  <dc:description/>
  <dc:language>en-CA</dc:language>
  <cp:lastModifiedBy>dhyvl</cp:lastModifiedBy>
  <cp:lastPrinted>2001-01-09T12:21:00Z</cp:lastPrinted>
  <dcterms:modified xsi:type="dcterms:W3CDTF">2001-01-09T15:51:00Z</dcterms:modified>
  <cp:revision>11</cp:revision>
  <dc:subject/>
  <dc:title>ENFOLIO* "SPOT"  CONFIRMATION--MASTER "SPOT" PURCHASE/SALE AGREEMENT GOVERNS</dc:title>
</cp:coreProperties>
</file>