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sz w:val="20"/>
        </w:rPr>
      </w:pPr>
      <w:r>
        <w:rPr>
          <w:rFonts w:cs="Arial Narrow" w:ascii="Arial Narrow" w:hAnsi="Arial Narrow"/>
          <w:sz w:val="20"/>
        </w:rPr>
        <w:t>September 29, 2000</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FootnoteText"/>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sz w:val="20"/>
        </w:rPr>
      </w:pPr>
      <w:r>
        <w:rPr>
          <w:rFonts w:cs="Arial Narrow" w:ascii="Arial Narrow" w:hAnsi="Arial Narrow"/>
          <w:sz w:val="20"/>
        </w:rPr>
        <w:t>Crestar Energy Marketing US Inc.</w:t>
      </w:r>
    </w:p>
    <w:p>
      <w:pPr>
        <w:pStyle w:val="Normal"/>
        <w:rPr/>
      </w:pPr>
      <w:r>
        <w:rPr>
          <w:rFonts w:cs="Arial Narrow" w:ascii="Arial Narrow" w:hAnsi="Arial Narrow"/>
          <w:sz w:val="20"/>
        </w:rPr>
        <w:t>333-7</w:t>
      </w:r>
      <w:r>
        <w:rPr>
          <w:rFonts w:cs="Arial Narrow" w:ascii="Arial Narrow" w:hAnsi="Arial Narrow"/>
          <w:sz w:val="20"/>
          <w:vertAlign w:val="superscript"/>
        </w:rPr>
        <w:t>th</w:t>
      </w:r>
      <w:r>
        <w:rPr>
          <w:rFonts w:cs="Arial Narrow" w:ascii="Arial Narrow" w:hAnsi="Arial Narrow"/>
          <w:sz w:val="20"/>
        </w:rPr>
        <w:t xml:space="preserve"> Ave. S. W.</w:t>
      </w:r>
    </w:p>
    <w:p>
      <w:pPr>
        <w:pStyle w:val="Normal"/>
        <w:rPr>
          <w:rFonts w:ascii="Arial Narrow" w:hAnsi="Arial Narrow" w:cs="Arial Narrow"/>
          <w:b/>
          <w:sz w:val="20"/>
        </w:rPr>
      </w:pPr>
      <w:r>
        <w:rPr>
          <w:rFonts w:cs="Arial Narrow" w:ascii="Arial Narrow" w:hAnsi="Arial Narrow"/>
          <w:sz w:val="20"/>
        </w:rPr>
        <w:t>Calgary, Alberta T2P 4M8</w:t>
      </w:r>
    </w:p>
    <w:p>
      <w:pPr>
        <w:pStyle w:val="Normal"/>
        <w:rPr>
          <w:rFonts w:ascii="Arial Narrow" w:hAnsi="Arial Narrow" w:cs="Arial Narrow"/>
          <w:b/>
          <w:sz w:val="20"/>
        </w:rPr>
      </w:pPr>
      <w:r>
        <w:rPr>
          <w:rFonts w:cs="Arial Narrow" w:ascii="Arial Narrow" w:hAnsi="Arial Narrow"/>
          <w:b/>
          <w:sz w:val="20"/>
        </w:rPr>
      </w:r>
    </w:p>
    <w:p>
      <w:pPr>
        <w:pStyle w:val="FootnoteText"/>
        <w:rPr>
          <w:rFonts w:ascii="Arial Narrow" w:hAnsi="Arial Narrow" w:cs="Arial Narrow"/>
        </w:rPr>
      </w:pPr>
      <w:r>
        <w:rPr>
          <w:rFonts w:cs="Arial Narrow" w:ascii="Arial Narrow" w:hAnsi="Arial Narrow"/>
        </w:rPr>
        <w:t>Attn: Jon McKenzie/Mike Stec</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GENERAL TERMS &amp; CONDITIONS GOVERN</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Firm Confirmation shall confirm the Transaction agreed to and binding between Crestar Energy Marketing US Inc.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t xml:space="preserve">TRANSACTION NUMBER:  </w:t>
      </w:r>
      <w:r>
        <w:rPr>
          <w:rFonts w:cs="Arial Narrow" w:ascii="Arial Narrow" w:hAnsi="Arial Narrow"/>
          <w:sz w:val="20"/>
        </w:rPr>
        <w:t>NV8176/370753</w:t>
      </w:r>
    </w:p>
    <w:p>
      <w:pPr>
        <w:pStyle w:val="Normal"/>
        <w:tabs>
          <w:tab w:val="clear" w:pos="720"/>
          <w:tab w:val="left" w:pos="8640" w:leader="none"/>
        </w:tabs>
        <w:ind w:hanging="5580" w:start="5580" w:end="0"/>
        <w:jc w:val="both"/>
        <w:rPr/>
      </w:pPr>
      <w:r>
        <w:rPr>
          <w:rFonts w:cs="Arial Narrow" w:ascii="Arial Narrow" w:hAnsi="Arial Narrow"/>
          <w:b/>
          <w:sz w:val="20"/>
        </w:rPr>
        <w:t xml:space="preserve">DESIGNATED QUANTITY (IN MMBTUS):  </w:t>
      </w:r>
      <w:r>
        <w:rPr>
          <w:rFonts w:cs="Arial Narrow" w:ascii="Arial Narrow" w:hAnsi="Arial Narrow"/>
          <w:sz w:val="20"/>
        </w:rPr>
        <w:t>21,100 MMBtu per day</w:t>
      </w:r>
    </w:p>
    <w:p>
      <w:pPr>
        <w:pStyle w:val="Normal"/>
        <w:tabs>
          <w:tab w:val="clear" w:pos="720"/>
          <w:tab w:val="left" w:pos="8640" w:leader="none"/>
        </w:tabs>
        <w:jc w:val="both"/>
        <w:rPr/>
      </w:pPr>
      <w:r>
        <w:rPr>
          <w:rFonts w:cs="Arial Narrow" w:ascii="Arial Narrow" w:hAnsi="Arial Narrow"/>
          <w:b/>
          <w:sz w:val="20"/>
        </w:rPr>
        <w:t>DELIVERY POINT(S):</w:t>
      </w:r>
      <w:r>
        <w:rPr>
          <w:rFonts w:cs="Arial Narrow" w:ascii="Arial Narrow" w:hAnsi="Arial Narrow"/>
          <w:sz w:val="20"/>
        </w:rPr>
        <w:t xml:space="preserve">  The interconnect of ANR Pipeline Co. (Joliet) and Alliance Pipeline Ltd.</w:t>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sz w:val="20"/>
        </w:rPr>
        <w:t>November 1, 2000 through October 31, 2001</w:t>
      </w:r>
    </w:p>
    <w:p>
      <w:pPr>
        <w:pStyle w:val="Normal"/>
        <w:autoSpaceDE w:val="false"/>
        <w:spacing w:lineRule="atLeast" w:line="240"/>
        <w:rPr/>
      </w:pPr>
      <w:r>
        <w:rPr>
          <w:rFonts w:cs="Arial Narrow" w:ascii="Arial Narrow" w:hAnsi="Arial Narrow"/>
          <w:b/>
          <w:sz w:val="20"/>
        </w:rPr>
        <w:t>CONTRACT PRICE (PER MMBTU):</w:t>
      </w:r>
      <w:r>
        <w:rPr>
          <w:rFonts w:cs="Arial Narrow" w:ascii="Arial Narrow" w:hAnsi="Arial Narrow"/>
          <w:sz w:val="20"/>
        </w:rPr>
        <w:t xml:space="preserve">  </w:t>
      </w:r>
      <w:r>
        <w:rPr>
          <w:rFonts w:cs="Arial Narrow" w:ascii="Arial Narrow" w:hAnsi="Arial Narrow"/>
          <w:color w:val="000000"/>
          <w:sz w:val="20"/>
        </w:rPr>
        <w:t>The "Bidweek Avg." price published in Natural Gas Intelligence Gas Price Index for "Chicago Citygate", located in the "Midwest" section of the table entitled "Spot Gas Prices" in the first-of-the-month issue of such publication for each Month during the Period of Delivery.</w:t>
      </w:r>
      <w:r>
        <w:rPr>
          <w:rFonts w:cs="Arial Narrow" w:ascii="Arial Narrow" w:hAnsi="Arial Narrow"/>
          <w:sz w:val="20"/>
        </w:rPr>
        <w:t xml:space="preserve"> </w:t>
      </w:r>
    </w:p>
    <w:p>
      <w:pPr>
        <w:pStyle w:val="Normal"/>
        <w:jc w:val="both"/>
        <w:rPr/>
      </w:pPr>
      <w:r>
        <w:rPr>
          <w:rFonts w:cs="Arial Narrow" w:ascii="Arial Narrow" w:hAnsi="Arial Narrow"/>
          <w:b/>
          <w:sz w:val="20"/>
        </w:rPr>
        <w:t xml:space="preserve">OTHER TERMS:  </w:t>
      </w:r>
      <w:r>
        <w:rPr>
          <w:rFonts w:cs="Arial Narrow" w:ascii="Arial Narrow" w:hAnsi="Arial Narrow"/>
          <w:sz w:val="20"/>
        </w:rPr>
        <w:t>1) Company may, upon reasonable notice and prior to any pipeline nomination deadline, change the Delivery Point for all or a portion of the Designated Quantity to an alternate point on Alliance Pipeline.  Customer and Company agree that reasonable commercial efforts shall be used by the parties to accommodate Company’s request to change the Delivery Point.</w:t>
      </w:r>
    </w:p>
    <w:p>
      <w:pPr>
        <w:pStyle w:val="Normal"/>
        <w:jc w:val="both"/>
        <w:rPr>
          <w:rFonts w:ascii="Arial Narrow" w:hAnsi="Arial Narrow" w:cs="Arial Narrow"/>
          <w:sz w:val="20"/>
        </w:rPr>
      </w:pPr>
      <w:r>
        <w:rPr>
          <w:rFonts w:cs="Arial Narrow" w:ascii="Arial Narrow" w:hAnsi="Arial Narrow"/>
          <w:sz w:val="20"/>
        </w:rPr>
        <w:t xml:space="preserve">2) Notwithstanding anything to the contrary in the Enfolio Firm General Terms and Conditions, Sections 2, Quantity Obligations, 5, Operations and Delivery, and  8, Force Majeure, do not apply to this Transaction.  </w:t>
      </w:r>
    </w:p>
    <w:p>
      <w:pPr>
        <w:pStyle w:val="Normal"/>
        <w:jc w:val="both"/>
        <w:rPr/>
      </w:pPr>
      <w:r>
        <w:rPr>
          <w:rFonts w:cs="Arial Narrow" w:ascii="Arial Narrow" w:hAnsi="Arial Narrow"/>
          <w:sz w:val="20"/>
        </w:rPr>
        <w:t xml:space="preserve">3) In the event that Customer does not deliver the Designated Quantity, Company will purchase replacement gas.  Customer shall pay Company for such replacement gas in an amount equal to the replacement gas quantity multiplied by the Replacement Gas Price.  “Replacement Gas Price” means the Midpoint price published on each calendar day that replacement gas is purchased under the heading “Daily Price Survey” in the Citygates – Chicago LDCs, e-users section of </w:t>
      </w:r>
      <w:r>
        <w:rPr>
          <w:rFonts w:cs="Arial Narrow" w:ascii="Arial Narrow" w:hAnsi="Arial Narrow"/>
          <w:sz w:val="20"/>
          <w:u w:val="single"/>
        </w:rPr>
        <w:t>Gas Daily</w:t>
      </w:r>
      <w:r>
        <w:rPr>
          <w:rFonts w:cs="Arial Narrow" w:ascii="Arial Narrow" w:hAnsi="Arial Narrow"/>
          <w:sz w:val="20"/>
        </w:rPr>
        <w:t>, or if a calendar day is not a business day then the Replacement Gas Price for such calendar day will be the Daily Midpoint price published on the next succeeding business day.  In The event that the “Replacement Gas Price” is unavailable usuing reasonable commerical efforts, or does not represent the current market price for replacement gas, the parties may agree that the Replacement Gas Price for a particular day will be a fixed price instead of the index price set out above.</w:t>
      </w:r>
    </w:p>
    <w:p>
      <w:pPr>
        <w:pStyle w:val="Normal"/>
        <w:jc w:val="both"/>
        <w:rPr>
          <w:rFonts w:ascii="Arial Narrow" w:hAnsi="Arial Narrow" w:cs="Arial Narrow"/>
          <w:sz w:val="20"/>
        </w:rPr>
      </w:pPr>
      <w:r>
        <w:rPr>
          <w:rFonts w:cs="Arial Narrow" w:ascii="Arial Narrow" w:hAnsi="Arial Narrow"/>
          <w:sz w:val="20"/>
        </w:rPr>
      </w:r>
    </w:p>
    <w:p>
      <w:pPr>
        <w:pStyle w:val="Normal"/>
        <w:tabs>
          <w:tab w:val="clear" w:pos="720"/>
          <w:tab w:val="center" w:pos="10800" w:leader="none"/>
        </w:tabs>
        <w:jc w:val="both"/>
        <w:rPr>
          <w:rFonts w:ascii="Arial Narrow" w:hAnsi="Arial Narrow" w:cs="Arial Narrow"/>
          <w:sz w:val="20"/>
        </w:rPr>
      </w:pPr>
      <w:r>
        <w:rPr>
          <w:rFonts w:cs="Arial Narrow" w:ascii="Arial Narrow" w:hAnsi="Arial Narrow"/>
          <w:b/>
          <w:sz w:val="20"/>
        </w:rPr>
        <w:t>NOTICE AND COMMUNICATION TO COMPANY, AS FOLLOWS:</w:t>
      </w:r>
    </w:p>
    <w:p>
      <w:pPr>
        <w:pStyle w:val="Normal"/>
        <w:tabs>
          <w:tab w:val="clear" w:pos="720"/>
          <w:tab w:val="left" w:pos="8460" w:leader="none"/>
        </w:tabs>
        <w:ind w:hanging="5400" w:start="5400" w:end="0"/>
        <w:jc w:val="both"/>
        <w:rPr>
          <w:rFonts w:ascii="Arial Narrow" w:hAnsi="Arial Narrow" w:cs="Arial Narrow"/>
          <w:b/>
          <w:sz w:val="20"/>
        </w:rPr>
      </w:pPr>
      <w:r>
        <w:rPr>
          <w:rFonts w:cs="Arial Narrow" w:ascii="Arial Narrow" w:hAnsi="Arial Narrow"/>
          <w:b/>
          <w:sz w:val="20"/>
        </w:rPr>
        <w:t>NOTICE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Attn:  Confirmation/Documentation</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646-4816</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BILLING, INVOICES AND ACCOUNTING MATTERS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Contract Settlement</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646-8420</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WIRE PAYMENTS TO COMPANY:</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Enron North America Corp.</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ABA Routing 111000012 Bank of America, Dallas, Tx, Account 3750494099</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NOMINATIONS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1(800)356-9427/1(800)FLOWGAS</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 xml:space="preserve">CONFIRMATIONS TO COMPANY: </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Enron North America Corp. Gas Trading</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646-2531</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Firm Confirmation is being provided pursuant to and in accordance with the ENFOLIO FIRM GENERAL TERMS &amp; CONDITIONS (the "</w:t>
      </w:r>
      <w:r>
        <w:rPr>
          <w:rFonts w:cs="Arial Narrow" w:ascii="Arial Narrow" w:hAnsi="Arial Narrow"/>
          <w:sz w:val="20"/>
          <w:u w:val="single"/>
        </w:rPr>
        <w:t>Firm GTC</w:t>
      </w:r>
      <w:r>
        <w:rPr>
          <w:rFonts w:cs="Arial Narrow" w:ascii="Arial Narrow" w:hAnsi="Arial Narrow"/>
          <w:sz w:val="20"/>
        </w:rPr>
        <w:t>") and constitutes part of and is subject to all of the provisions of the Firm GTC.  Company does hereby adopt its letterhead, including its address, as its signature in respect of the identification of Company and the authentication by Company of this Firm Confirmation.  Any objection of Customer to this Firm Confirmation must be made by written notice to Company within 10 days of receipt of same.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p>
      <w:pPr>
        <w:pStyle w:val="Normal"/>
        <w:rPr>
          <w:sz w:val="20"/>
        </w:rPr>
      </w:pPr>
      <w:r>
        <w:rPr>
          <w:sz w:val="20"/>
        </w:rPr>
      </w:r>
    </w:p>
    <w:p>
      <w:pPr>
        <w:pStyle w:val="Normal"/>
        <w:rPr>
          <w:rFonts w:ascii="Arial Narrow" w:hAnsi="Arial Narrow" w:cs="Arial Narrow"/>
          <w:sz w:val="16"/>
        </w:rPr>
      </w:pPr>
      <w:r>
        <w:rPr>
          <w:rFonts w:cs="Arial Narrow" w:ascii="Arial Narrow" w:hAnsi="Arial Narrow"/>
          <w:sz w:val="16"/>
        </w:rPr>
      </w:r>
      <w:r>
        <w:br w:type="page"/>
      </w:r>
    </w:p>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FIRM 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Firm GTC</w:t>
      </w:r>
      <w:r>
        <w:rPr>
          <w:rFonts w:cs="Arial Narrow" w:ascii="Arial Narrow" w:hAnsi="Arial Narrow"/>
          <w:sz w:val="18"/>
        </w:rPr>
        <w:t>") and Enfolio confirmations of transactions ("</w:t>
      </w:r>
      <w:r>
        <w:rPr>
          <w:rFonts w:cs="Arial Narrow" w:ascii="Arial Narrow" w:hAnsi="Arial Narrow"/>
          <w:sz w:val="18"/>
          <w:u w:val="single"/>
        </w:rPr>
        <w:t>Firm Confirmations</w:t>
      </w:r>
      <w:r>
        <w:rPr>
          <w:rFonts w:cs="Arial Narrow" w:ascii="Arial Narrow" w:hAnsi="Arial Narrow"/>
          <w:sz w:val="18"/>
        </w:rPr>
        <w:t xml:space="preserve">") referencing this Firm GTC, which may be issued at the discretion of Company therein identified.  Transactions may be formed in a recorded telephone conversation between the parties whereby an offer and acceptance shall constitute the valid and enforceable agreement of the parties subject to this Firm GTC and all transactions between the parties shall be considered a single master agreement governed by this Firm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Firm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Daily Contract Quantity</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 xml:space="preserve">as provided in each transaction.  </w:t>
      </w:r>
    </w:p>
    <w:p>
      <w:pPr>
        <w:pStyle w:val="Normal"/>
        <w:jc w:val="both"/>
        <w:rPr>
          <w:rFonts w:ascii="Arial Narrow" w:hAnsi="Arial Narrow" w:cs="Arial Narrow"/>
          <w:sz w:val="18"/>
          <w:u w:val="single"/>
        </w:rPr>
      </w:pPr>
      <w:r>
        <w:rPr>
          <w:rFonts w:cs="Arial Narrow" w:ascii="Arial Narrow" w:hAnsi="Arial Narrow"/>
          <w:b/>
          <w:sz w:val="18"/>
          <w:u w:val="single"/>
        </w:rPr>
        <w:t>2.  Quantity Obligations</w:t>
      </w:r>
      <w:r>
        <w:rPr>
          <w:rFonts w:cs="Arial Narrow" w:ascii="Arial Narrow" w:hAnsi="Arial Narrow"/>
          <w:b/>
          <w:color w:val="000000"/>
          <w:sz w:val="18"/>
        </w:rPr>
        <w:t xml:space="preserve">. </w:t>
      </w:r>
      <w:r>
        <w:rPr>
          <w:rFonts w:cs="Arial Narrow" w:ascii="Arial Narrow" w:hAnsi="Arial Narrow"/>
          <w:color w:val="000000"/>
          <w:sz w:val="18"/>
        </w:rPr>
        <w:t xml:space="preserve"> </w:t>
      </w:r>
      <w:r>
        <w:rPr>
          <w:rFonts w:cs="Arial Narrow" w:ascii="Arial Narrow" w:hAnsi="Arial Narrow"/>
          <w:sz w:val="18"/>
        </w:rPr>
        <w:t>All gas shall be scheduled at the Delivery Point(s) on a firm basis and in the Daily Contract Quantity.  If on any day a party fails to schedule the Daily Contract Quantity, then such occurrence shall constitute a "Default" and the "Default Quantity" shall be the numerical difference between the Daily Contract Quantity and the amount of gas scheduled.  Upon Default, the defaulting party shall pay to the other party an amount equal to the sum of the product of the Default Quantity multiplied by the Replacement Price Differential plus liquidated damages equal to $0.15 multiplied by the Default Quantity.  "Replacement Price Differential" means (i) in the event of a Seller's Deficiency Default, the positive difference, if any, obtained by subtracting the Contract Price from the Spot Price for the day in which the default occurred, and (ii) in the event of a Buyer's Deficiency Default, the positive difference, if any, obtained by subtracting the Spot Price for the day in which the default occurred from the Contract Price.  "Spot Price" means the "Daily Midpoint" price set forth in Gas Daily®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rFonts w:ascii="Arial Narrow" w:hAnsi="Arial Narrow" w:cs="Arial Narrow"/>
          <w:b/>
          <w:sz w:val="18"/>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Firm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Daily Contract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The Notifying Party shall provide the Affected Party a written statement of the amount of the Termination Payment.  If a Termination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Daily Contract Quantity for a cumulative period of 10 or more days in a 3 month period.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softHyphen/>
        <w:t>tion from the Delivery Point(s).  Seller represents that all scheduled gas shall meet the specifications of Buyer's transporter.  Unless otherwise agreed nothing herein, including an event of Force Majeure, shall require or permit either party to schedule gas at a point other than a Delivery Point or in excess of the Daily Contract Quantity.  If either party receives an order from a transporter requiring action in connection with a transaction (the "OFO"),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Narrow" w:ascii="Arial Narrow" w:hAnsi="Arial Narrow"/>
          <w:b/>
          <w:sz w:val="18"/>
          <w:u w:val="single"/>
        </w:rPr>
        <w:t>6.  Payments</w:t>
      </w:r>
      <w:r>
        <w:rPr>
          <w:rFonts w:cs="Arial Narrow" w:ascii="Arial Narrow" w:hAnsi="Arial Narrow"/>
          <w:sz w:val="18"/>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Firm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Firm GTC may be offset against each other, set off or recouped therefrom, or netted for payment.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Narrow" w:ascii="Arial Narrow" w:hAnsi="Arial Narrow"/>
          <w:sz w:val="18"/>
          <w:u w:val="single"/>
        </w:rPr>
        <w:t>New Tax</w:t>
      </w:r>
      <w:r>
        <w:rPr>
          <w:rFonts w:cs="Arial Narrow" w:ascii="Arial Narrow" w:hAnsi="Arial Narrow"/>
          <w:sz w:val="18"/>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w:t>
      </w:r>
      <w:r>
        <w:rPr>
          <w:rFonts w:cs="Arial Narrow" w:ascii="Arial Narrow" w:hAnsi="Arial Narrow"/>
          <w:b/>
          <w:sz w:val="18"/>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Firm GTC, each transaction and the rights and duties of the parties arising herefrom shall be governed by the laws of the state of Texas.</w:t>
      </w:r>
    </w:p>
    <w:p>
      <w:pPr>
        <w:pStyle w:val="Normal"/>
        <w:rPr>
          <w:rFonts w:ascii="Arial Narrow" w:hAnsi="Arial Narrow" w:cs="Arial Narrow"/>
          <w:b/>
          <w:sz w:val="16"/>
        </w:rPr>
      </w:pPr>
      <w:r>
        <w:rPr>
          <w:rFonts w:cs="Arial Narrow" w:ascii="Arial Narrow" w:hAnsi="Arial Narrow"/>
          <w:b/>
          <w:sz w:val="16"/>
        </w:rPr>
      </w:r>
    </w:p>
    <w:p>
      <w:pPr>
        <w:pStyle w:val="Normal"/>
        <w:rPr>
          <w:rFonts w:ascii="Arial Narrow" w:hAnsi="Arial Narrow" w:cs="Arial Narrow"/>
          <w:sz w:val="16"/>
        </w:rPr>
      </w:pPr>
      <w:r>
        <w:rPr>
          <w:rFonts w:cs="Arial Narrow" w:ascii="Arial Narrow" w:hAnsi="Arial Narrow"/>
          <w:sz w:val="16"/>
        </w:rPr>
        <w:drawing>
          <wp:inline distT="0" distB="0" distL="0" distR="0">
            <wp:extent cx="635" cy="6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00000" t="-100000" r="-100000" b="-100000"/>
                    <a:stretch>
                      <a:fillRect/>
                    </a:stretch>
                  </pic:blipFill>
                  <pic:spPr bwMode="auto">
                    <a:xfrm>
                      <a:off x="0" y="0"/>
                      <a:ext cx="635" cy="635"/>
                    </a:xfrm>
                    <a:prstGeom prst="rect">
                      <a:avLst/>
                    </a:prstGeom>
                    <a:noFill/>
                  </pic:spPr>
                </pic:pic>
              </a:graphicData>
            </a:graphic>
          </wp:inline>
        </w:drawing>
      </w:r>
    </w:p>
    <w:p>
      <w:pPr>
        <w:pStyle w:val="Normal"/>
        <w:rPr>
          <w:rFonts w:ascii="Arial Narrow" w:hAnsi="Arial Narrow" w:cs="Arial Narrow"/>
          <w:sz w:val="16"/>
        </w:rPr>
      </w:pPr>
      <w:r>
        <w:rPr>
          <w:rFonts w:cs="Arial Narrow" w:ascii="Arial Narrow" w:hAnsi="Arial Narrow"/>
          <w:sz w:val="16"/>
        </w:rPr>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p>
    <w:pPr>
      <w:pStyle w:val="Normal"/>
      <w:tabs>
        <w:tab w:val="clear" w:pos="720"/>
        <w:tab w:val="left" w:pos="4320" w:leader="none"/>
        <w:tab w:val="left" w:pos="8280" w:leader="none"/>
      </w:tabs>
      <w:jc w:val="both"/>
      <w:rPr>
        <w:sz w:val="16"/>
      </w:rPr>
    </w:pPr>
    <w:r>
      <w:rPr>
        <w:sz w:val="16"/>
      </w:rPr>
      <w:fldChar w:fldCharType="begin"/>
    </w:r>
    <w:r>
      <w:rPr>
        <w:sz w:val="16"/>
      </w:rPr>
      <w:instrText xml:space="preserve"> FILENAME \p </w:instrText>
    </w:r>
    <w:r>
      <w:rPr>
        <w:sz w:val="16"/>
      </w:rPr>
      <w:fldChar w:fldCharType="separate"/>
    </w:r>
    <w:r>
      <w:rPr>
        <w:sz w:val="16"/>
      </w:rPr>
      <w:t>/mnt/main-storage/datasets/enron-docs/doc/2000_87crfm-25ec9c4ed4ce5278f1d9c368b9c58fc51ca6a955726df56e026be3eddf9e199d.doc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/mnt/main-storage/datasets/enron-docs/doc/2000_87crfm-25ec9c4ed4ce5278f1d9c368b9c58fc51ca6a955726df56e026be3eddf9e199d.doc</w:t>
    </w:r>
    <w:r>
      <w:rP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numPr>
        <w:ilvl w:val="0"/>
        <w:numId w:val="1"/>
      </w:numPr>
      <w:spacing w:before="240" w:after="0"/>
      <w:outlineLvl w:val="0"/>
    </w:pPr>
    <w:rPr>
      <w:rFonts w:ascii="Helv" w:hAnsi="Helv" w:cs="Helv"/>
      <w:b/>
      <w:u w:val="single"/>
    </w:rPr>
  </w:style>
  <w:style w:type="paragraph" w:styleId="Heading2">
    <w:name w:val="heading 2"/>
    <w:basedOn w:val="Normal"/>
    <w:next w:val="Normal"/>
    <w:qFormat/>
    <w:pPr>
      <w:numPr>
        <w:ilvl w:val="1"/>
        <w:numId w:val="1"/>
      </w:numPr>
      <w:spacing w:before="120" w:after="0"/>
      <w:outlineLvl w:val="1"/>
    </w:pPr>
    <w:rPr>
      <w:rFonts w:ascii="Helv" w:hAnsi="Helv" w:cs="Helv"/>
      <w:b/>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paragraph" w:styleId="Heading4">
    <w:name w:val="heading 4"/>
    <w:basedOn w:val="Normal"/>
    <w:next w:val="NormalIndent"/>
    <w:qFormat/>
    <w:pPr>
      <w:numPr>
        <w:ilvl w:val="3"/>
        <w:numId w:val="1"/>
      </w:numPr>
      <w:ind w:hanging="0" w:start="360" w:end="0"/>
      <w:outlineLvl w:val="3"/>
    </w:pPr>
    <w:rPr>
      <w:rFonts w:ascii="Tms Rmn" w:hAnsi="Tms Rmn" w:cs="Tms Rmn"/>
      <w:u w:val="singl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NormalIndent"/>
    <w:qFormat/>
    <w:pPr>
      <w:numPr>
        <w:ilvl w:val="5"/>
        <w:numId w:val="1"/>
      </w:numPr>
      <w:ind w:hanging="0" w:start="720" w:end="0"/>
      <w:outlineLvl w:val="5"/>
    </w:pPr>
    <w:rPr>
      <w:rFonts w:ascii="Tms Rmn" w:hAnsi="Tms Rmn" w:cs="Tms Rmn"/>
      <w:sz w:val="20"/>
      <w:u w:val="single"/>
    </w:rPr>
  </w:style>
  <w:style w:type="paragraph" w:styleId="Heading7">
    <w:name w:val="heading 7"/>
    <w:basedOn w:val="Normal"/>
    <w:next w:val="NormalIndent"/>
    <w:qFormat/>
    <w:pPr>
      <w:numPr>
        <w:ilvl w:val="6"/>
        <w:numId w:val="1"/>
      </w:numPr>
      <w:ind w:hanging="0" w:start="720" w:end="0"/>
      <w:outlineLvl w:val="6"/>
    </w:pPr>
    <w:rPr>
      <w:rFonts w:ascii="Tms Rmn" w:hAnsi="Tms Rmn" w:cs="Tms Rmn"/>
      <w:i/>
      <w:sz w:val="20"/>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2000-11-06T16:27:00Z</dcterms:created>
  <dc:creator>vv24f</dc:creator>
  <dc:description/>
  <dc:language>en-CA</dc:language>
  <cp:lastModifiedBy>dhyvl</cp:lastModifiedBy>
  <cp:lastPrinted>1999-09-22T14:31:00Z</cp:lastPrinted>
  <dcterms:modified xsi:type="dcterms:W3CDTF">2000-11-06T16:38:00Z</dcterms:modified>
  <cp:revision>4</cp:revision>
  <dc:subject/>
  <dc:title>ENFOLIO* FIRM  CONFIRMATION--ENFOLIO* FIRM GENERAL TERMS &amp; CONDITIONS GOVERN</dc:title>
</cp:coreProperties>
</file>