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October 30,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December 1, 2000 –  February 28,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6"/>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6"/>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6"/>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7"/>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7"/>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7"/>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7"/>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7"/>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7"/>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7"/>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7"/>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w:t>
      </w:r>
    </w:p>
    <w:p>
      <w:pPr>
        <w:pStyle w:val="BodyTextIndent3"/>
        <w:tabs>
          <w:tab w:val="clear" w:pos="720"/>
          <w:tab w:val="left" w:pos="1440" w:leader="none"/>
          <w:tab w:val="left" w:pos="1800" w:leader="none"/>
        </w:tabs>
        <w:ind w:hanging="1800" w:start="1800" w:end="0"/>
        <w:jc w:val="both"/>
        <w:rPr/>
      </w:pPr>
      <w:r>
        <w:rPr>
          <w:b/>
          <w:i w:val="false"/>
          <w:sz w:val="20"/>
        </w:rPr>
        <w:tab/>
      </w:r>
      <w:r>
        <w:rPr>
          <w:i w:val="false"/>
          <w:sz w:val="20"/>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p>
      <w:pPr>
        <w:pStyle w:val="BodyTextIndent3"/>
        <w:numPr>
          <w:ilvl w:val="0"/>
          <w:numId w:val="5"/>
        </w:numPr>
        <w:tabs>
          <w:tab w:val="clear" w:pos="720"/>
          <w:tab w:val="left" w:pos="1440" w:leader="none"/>
        </w:tabs>
        <w:jc w:val="both"/>
        <w:rPr>
          <w:i w:val="false"/>
          <w:i w:val="false"/>
          <w:sz w:val="20"/>
        </w:rPr>
      </w:pPr>
      <w:r>
        <w:rPr>
          <w:i w:val="false"/>
          <w:sz w:val="20"/>
        </w:rPr>
        <w:t>Fixed Price Strategies.  From time to time, Seller shall present Buyer with pricing alternatives such as fixed price strategies.  With respect to the alternatives presented by Seller, Buyer shall make the decision whether or not to implement any of the pricing alternatives.  In the event an alternative presented by Seller and chosen by Buyer results in price variations from the Contract Price, the variations will be documented.  Such variations shall be tracked until the end of the Period of Delivery.  At that time, to the extent the total variation was positive (i.e., resulted in lower price to Buyer), Seller shall have the right but not the obligation to renew the contract for a subsequent year.  To the extent there were no savings generated or if losses were generated, Buyer shall have the unilateral right to terminate the Agreement.</w:t>
      </w:r>
    </w:p>
    <w:p>
      <w:pPr>
        <w:pStyle w:val="BodyTextIndent3"/>
        <w:numPr>
          <w:ilvl w:val="0"/>
          <w:numId w:val="5"/>
        </w:numPr>
        <w:jc w:val="both"/>
        <w:rPr>
          <w:i w:val="false"/>
          <w:i w:val="false"/>
          <w:sz w:val="20"/>
        </w:rPr>
      </w:pPr>
      <w:r>
        <w:rPr>
          <w:i w:val="false"/>
          <w:sz w:val="20"/>
        </w:rPr>
        <w:t>Electricity Pricing Strategies: Buyer uses natural gas to generate electricity.  Seller is an active Scheduling Coordinator interested is assisting Buyer examine options for linking its gas price to the price of electricity.  As part of this agreement, Seller shall provide Buyer a monthly report indicating the current price under a formula that links the gas price to the California Power Exchange SP-15 Post Congested Market Clearing Price (SP-15 MCP).  The purpose of this exercise is to have a year of experience looking at the relationship between gas and power prices so that at the end of the year, Buyer will understand how these  two prices can be linked and how the relative value of these two commodities changes over a year.  In addition, to the extent that Buyer begins receiving the SP-15 MCP for its energy sales during the Period of Delivery, Seller shall have a right to request a price determination to provide gas/power price linkage. In the course of this redetermination, if Buyer can obtain a better price under such gas/power linkage from a party other than Seller, Seller shall have the right to match such price.  If Seller does not match such price, Buyer can terminate this Agreement upon thirty (30) days prior written notice to Seller.</w:t>
      </w:r>
    </w:p>
    <w:p>
      <w:pPr>
        <w:pStyle w:val="BodyTextIndent3"/>
        <w:jc w:val="both"/>
        <w:rPr>
          <w:i w:val="false"/>
          <w:i w:val="false"/>
          <w:sz w:val="20"/>
        </w:rPr>
      </w:pPr>
      <w:r>
        <w:rPr>
          <w:i w:val="false"/>
          <w:sz w:val="20"/>
        </w:rPr>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/mnt/main-storage/datasets/enron-docs/doc/2000_81crfm.doc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/mnt/main-storage/datasets/enron-docs/doc/2000_81crfm.doc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October 30, 2000</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68257732"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3"/>
      <w:numFmt w:val="decimal"/>
      <w:lvlText w:val="%1."/>
      <w:lvlJc w:val="start"/>
      <w:pPr>
        <w:tabs>
          <w:tab w:val="num" w:pos="1800"/>
        </w:tabs>
        <w:ind w:start="1800" w:hanging="360"/>
      </w:pPr>
      <w:rPr/>
    </w:lvl>
  </w:abstractNum>
  <w:abstractNum w:abstractNumId="6">
    <w:lvl w:ilvl="0">
      <w:start w:val="2"/>
      <w:numFmt w:val="decimal"/>
      <w:lvlText w:val="%1."/>
      <w:lvlJc w:val="start"/>
      <w:pPr>
        <w:tabs>
          <w:tab w:val="num" w:pos="1800"/>
        </w:tabs>
        <w:ind w:start="1800" w:hanging="360"/>
      </w:pPr>
      <w:rPr/>
    </w:lvl>
  </w:abstractNum>
  <w:abstractNum w:abstractNumId="7">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2000-10-25T18:37:00Z</dcterms:created>
  <dc:creator>ECT</dc:creator>
  <dc:description/>
  <dc:language>en-CA</dc:language>
  <cp:lastModifiedBy>dhyvl</cp:lastModifiedBy>
  <cp:lastPrinted>2000-10-25T16:38:00Z</cp:lastPrinted>
  <dcterms:modified xsi:type="dcterms:W3CDTF">2000-10-30T13:06:00Z</dcterms:modified>
  <cp:revision>5</cp:revision>
  <dc:subject/>
  <dc:title>Services Agreement</dc:title>
</cp:coreProperties>
</file>