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3"/>
        </w:rPr>
      </w:pPr>
      <w:r>
        <w:rPr>
          <w:sz w:val="23"/>
        </w:rPr>
      </w:r>
    </w:p>
    <w:p>
      <w:pPr>
        <w:pStyle w:val="Header"/>
        <w:tabs>
          <w:tab w:val="clear" w:pos="4320"/>
          <w:tab w:val="clear" w:pos="8640"/>
        </w:tabs>
        <w:rPr>
          <w:sz w:val="23"/>
        </w:rPr>
      </w:pPr>
      <w:r>
        <w:rPr>
          <w:sz w:val="23"/>
        </w:rPr>
      </w:r>
    </w:p>
    <w:p>
      <w:pPr>
        <w:pStyle w:val="Header"/>
        <w:tabs>
          <w:tab w:val="clear" w:pos="4320"/>
          <w:tab w:val="clear" w:pos="8640"/>
        </w:tabs>
        <w:rPr>
          <w:sz w:val="23"/>
        </w:rPr>
      </w:pPr>
      <w:r>
        <w:rPr>
          <w:sz w:val="23"/>
        </w:rPr>
      </w:r>
    </w:p>
    <w:p>
      <w:pPr>
        <w:pStyle w:val="Header"/>
        <w:tabs>
          <w:tab w:val="clear" w:pos="4320"/>
          <w:tab w:val="clear" w:pos="8640"/>
        </w:tabs>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ab/>
        <w:tab/>
        <w:tab/>
        <w:tab/>
        <w:tab/>
        <w:tab/>
        <w:t>October 11, 2000</w:t>
      </w:r>
    </w:p>
    <w:p>
      <w:pPr>
        <w:pStyle w:val="Normal"/>
        <w:rPr>
          <w:sz w:val="23"/>
        </w:rPr>
      </w:pPr>
      <w:r>
        <w:rPr>
          <w:sz w:val="23"/>
        </w:rPr>
      </w:r>
    </w:p>
    <w:p>
      <w:pPr>
        <w:pStyle w:val="Header"/>
        <w:tabs>
          <w:tab w:val="clear" w:pos="4320"/>
          <w:tab w:val="clear" w:pos="8640"/>
        </w:tabs>
        <w:rPr>
          <w:sz w:val="23"/>
        </w:rPr>
      </w:pPr>
      <w:r>
        <w:rPr>
          <w:sz w:val="23"/>
        </w:rPr>
      </w:r>
    </w:p>
    <w:p>
      <w:pPr>
        <w:pStyle w:val="Normal"/>
        <w:rPr>
          <w:sz w:val="23"/>
        </w:rPr>
      </w:pPr>
      <w:r>
        <w:rPr>
          <w:sz w:val="23"/>
        </w:rPr>
        <w:t>T.J. Sattler, General Manager</w:t>
      </w:r>
      <w:r>
        <w:rPr>
          <w:b/>
          <w:bCs/>
          <w:sz w:val="23"/>
        </w:rPr>
        <w:t xml:space="preserve"> </w:t>
        <w:tab/>
        <w:tab/>
        <w:tab/>
        <w:tab/>
        <w:tab/>
        <w:t>Via-Facsimile (281) 885-5656</w:t>
      </w:r>
    </w:p>
    <w:p>
      <w:pPr>
        <w:pStyle w:val="Normal"/>
        <w:jc w:val="both"/>
        <w:rPr>
          <w:sz w:val="23"/>
        </w:rPr>
      </w:pPr>
      <w:r>
        <w:rPr>
          <w:sz w:val="23"/>
        </w:rPr>
        <w:t>MIECO Inc.</w:t>
      </w:r>
    </w:p>
    <w:p>
      <w:pPr>
        <w:pStyle w:val="Normal"/>
        <w:rPr>
          <w:sz w:val="23"/>
        </w:rPr>
      </w:pPr>
      <w:r>
        <w:rPr>
          <w:sz w:val="23"/>
        </w:rPr>
        <w:t>Four Greenspoint Plaza</w:t>
      </w:r>
    </w:p>
    <w:p>
      <w:pPr>
        <w:pStyle w:val="Normal"/>
        <w:rPr>
          <w:sz w:val="23"/>
        </w:rPr>
      </w:pPr>
      <w:r>
        <w:rPr>
          <w:sz w:val="23"/>
        </w:rPr>
        <w:t>16945 Northchase Drive, Suite 1640</w:t>
      </w:r>
    </w:p>
    <w:p>
      <w:pPr>
        <w:pStyle w:val="Normal"/>
        <w:rPr>
          <w:sz w:val="23"/>
        </w:rPr>
      </w:pPr>
      <w:r>
        <w:rPr>
          <w:sz w:val="23"/>
        </w:rPr>
        <w:t>Houston, Texas 77060</w:t>
      </w:r>
    </w:p>
    <w:p>
      <w:pPr>
        <w:pStyle w:val="Normal"/>
        <w:rPr>
          <w:sz w:val="23"/>
        </w:rPr>
      </w:pPr>
      <w:r>
        <w:rPr>
          <w:sz w:val="23"/>
        </w:rPr>
      </w:r>
    </w:p>
    <w:p>
      <w:pPr>
        <w:pStyle w:val="Normal"/>
        <w:rPr>
          <w:sz w:val="23"/>
        </w:rPr>
      </w:pPr>
      <w:r>
        <w:rPr>
          <w:sz w:val="23"/>
        </w:rPr>
        <w:tab/>
        <w:t>Re:</w:t>
        <w:tab/>
        <w:t>Waha/Henry Hub Spread Trade; Contract I.D.# 483089 &amp; 483092</w:t>
      </w:r>
    </w:p>
    <w:p>
      <w:pPr>
        <w:pStyle w:val="Normal"/>
        <w:rPr>
          <w:sz w:val="23"/>
        </w:rPr>
      </w:pPr>
      <w:r>
        <w:rPr>
          <w:sz w:val="23"/>
        </w:rPr>
      </w:r>
    </w:p>
    <w:p>
      <w:pPr>
        <w:pStyle w:val="Normal"/>
        <w:rPr>
          <w:sz w:val="23"/>
        </w:rPr>
      </w:pPr>
      <w:r>
        <w:rPr>
          <w:sz w:val="23"/>
        </w:rPr>
        <w:t>Dear Mr. Sattler:</w:t>
      </w:r>
    </w:p>
    <w:p>
      <w:pPr>
        <w:pStyle w:val="Normal"/>
        <w:rPr>
          <w:sz w:val="23"/>
        </w:rPr>
      </w:pPr>
      <w:r>
        <w:rPr>
          <w:sz w:val="23"/>
        </w:rPr>
      </w:r>
    </w:p>
    <w:p>
      <w:pPr>
        <w:pStyle w:val="BodyText"/>
        <w:rPr>
          <w:sz w:val="23"/>
        </w:rPr>
      </w:pPr>
      <w:r>
        <w:rPr>
          <w:sz w:val="23"/>
        </w:rPr>
        <w:tab/>
        <w:t>This letter is in response to your October 10, 2000 letter to Mr. Tom Martin regarding the above-referenced trades.  First let me make Enron North America Corp.’s (“ENA”) position perfectly clear:  ENA will not allow MIECO to take advantage of Enron Online’s obvious mistake in pricing.  Simply put, there are no enforceable trades.</w:t>
      </w:r>
    </w:p>
    <w:p>
      <w:pPr>
        <w:pStyle w:val="BodyText"/>
        <w:rPr>
          <w:sz w:val="23"/>
        </w:rPr>
      </w:pPr>
      <w:r>
        <w:rPr>
          <w:sz w:val="23"/>
        </w:rPr>
      </w:r>
    </w:p>
    <w:p>
      <w:pPr>
        <w:pStyle w:val="BodyText"/>
        <w:rPr>
          <w:sz w:val="23"/>
        </w:rPr>
      </w:pPr>
      <w:r>
        <w:rPr>
          <w:sz w:val="23"/>
        </w:rPr>
        <w:t>As has been explained to you on the phone, the basis trader at EnronOnline inadvertently entered an erroneous price yesterday when he entered the Gas Daily Waha price per MMBtu to be applicable as the difference in value of natural gas to be delivered at Waha, Texas versus the value of natural gas to be delivered at the Henry Hub in Louisiana.  Thus far this month, the basis differential between Waha and Henry Hub has been $0.045 per MMBtu, which was the intended value to be entered for the product “US Gas Daily Waha-H Hub”.  The Gas Daily Waha prices of $5.0250 per MMBtu and $5.0200 per MMBtu were the values being posted as an offer to financially purchase natural gas at Waha, Texas.  Your trader knew the normal spread differential applicable for Waha/Henry Hub transactions.  In fact, MIECO has consummated similar trades with EnronOnline as recently as September 7, 2000.  Because of the enormous differential in price, your trader clearly knew that EnronOnline had made a mistake in its pricing.  Within thirty minutes of his “click”, the basis trader at EnronOnline notified your trader of the mistake and offered to enter into an off-market transaction to financially purchase equivalent volumes of gas at the aforementioned Gas Daily Waha prices.  Your trader responded that he knew “there would be an issue with the trades,” but that he was “exploring his options.”  Quite simply, there are no options to explore.  ENA will not be held hostage by a counterparty capitalizing on a clear mistake.  There are no trades.</w:t>
      </w:r>
    </w:p>
    <w:p>
      <w:pPr>
        <w:pStyle w:val="BodyText"/>
        <w:rPr>
          <w:sz w:val="23"/>
        </w:rPr>
      </w:pPr>
      <w:r>
        <w:rPr>
          <w:sz w:val="23"/>
        </w:rPr>
      </w:r>
    </w:p>
    <w:p>
      <w:pPr>
        <w:pStyle w:val="BodyText"/>
        <w:rPr>
          <w:sz w:val="23"/>
        </w:rPr>
      </w:pPr>
      <w:r>
        <w:rPr>
          <w:sz w:val="23"/>
        </w:rPr>
        <w:t>If you have any questions regarding this matter please call me at (713) 853-5587.</w:t>
      </w:r>
    </w:p>
    <w:p>
      <w:pPr>
        <w:pStyle w:val="Normal"/>
        <w:jc w:val="both"/>
        <w:rPr>
          <w:sz w:val="23"/>
        </w:rPr>
      </w:pPr>
      <w:r>
        <w:rPr>
          <w:sz w:val="23"/>
        </w:rPr>
      </w:r>
    </w:p>
    <w:p>
      <w:pPr>
        <w:pStyle w:val="Normal"/>
        <w:jc w:val="both"/>
        <w:rPr>
          <w:sz w:val="23"/>
        </w:rPr>
      </w:pPr>
      <w:r>
        <w:rPr>
          <w:sz w:val="23"/>
        </w:rPr>
        <w:tab/>
        <w:tab/>
        <w:tab/>
        <w:tab/>
        <w:tab/>
        <w:tab/>
        <w:t>Sincerely,</w:t>
      </w:r>
    </w:p>
    <w:p>
      <w:pPr>
        <w:pStyle w:val="Normal"/>
        <w:jc w:val="both"/>
        <w:rPr>
          <w:sz w:val="23"/>
        </w:rPr>
      </w:pPr>
      <w:r>
        <w:rPr>
          <w:sz w:val="23"/>
        </w:rPr>
      </w:r>
    </w:p>
    <w:p>
      <w:pPr>
        <w:pStyle w:val="Normal"/>
        <w:jc w:val="both"/>
        <w:rPr>
          <w:sz w:val="23"/>
        </w:rPr>
      </w:pPr>
      <w:r>
        <w:rPr>
          <w:sz w:val="23"/>
        </w:rPr>
        <w:tab/>
        <w:tab/>
        <w:tab/>
        <w:tab/>
        <w:tab/>
        <w:tab/>
        <w:t>Enron North America Corp.</w:t>
      </w:r>
    </w:p>
    <w:p>
      <w:pPr>
        <w:pStyle w:val="Normal"/>
        <w:jc w:val="both"/>
        <w:rPr>
          <w:sz w:val="23"/>
        </w:rPr>
      </w:pPr>
      <w:r>
        <w:rPr>
          <w:sz w:val="23"/>
        </w:rPr>
      </w:r>
    </w:p>
    <w:p>
      <w:pPr>
        <w:pStyle w:val="Normal"/>
        <w:jc w:val="both"/>
        <w:rPr>
          <w:sz w:val="23"/>
        </w:rPr>
      </w:pPr>
      <w:r>
        <w:rPr>
          <w:sz w:val="23"/>
        </w:rPr>
      </w:r>
    </w:p>
    <w:p>
      <w:pPr>
        <w:pStyle w:val="Normal"/>
        <w:jc w:val="both"/>
        <w:rPr/>
      </w:pPr>
      <w:r>
        <w:rPr>
          <w:sz w:val="23"/>
        </w:rPr>
        <w:tab/>
        <w:tab/>
        <w:tab/>
        <w:tab/>
        <w:tab/>
        <w:tab/>
        <w:t xml:space="preserve">By: </w:t>
      </w:r>
      <w:r>
        <w:rPr>
          <w:sz w:val="23"/>
          <w:u w:val="single"/>
        </w:rPr>
        <w:tab/>
        <w:tab/>
        <w:tab/>
        <w:tab/>
        <w:tab/>
        <w:tab/>
        <w:tab/>
      </w:r>
    </w:p>
    <w:p>
      <w:pPr>
        <w:pStyle w:val="Normal"/>
        <w:tabs>
          <w:tab w:val="clear" w:pos="720"/>
          <w:tab w:val="left" w:pos="4680" w:leader="none"/>
        </w:tabs>
        <w:ind w:firstLine="720" w:end="0"/>
        <w:jc w:val="both"/>
        <w:rPr>
          <w:sz w:val="23"/>
        </w:rPr>
      </w:pPr>
      <w:r>
        <w:rPr>
          <w:sz w:val="23"/>
        </w:rPr>
        <w:tab/>
        <w:t>Richard B. Sanders</w:t>
      </w:r>
    </w:p>
    <w:p>
      <w:pPr>
        <w:pStyle w:val="Normal"/>
        <w:tabs>
          <w:tab w:val="clear" w:pos="720"/>
          <w:tab w:val="left" w:pos="4680" w:leader="none"/>
        </w:tabs>
        <w:jc w:val="both"/>
        <w:rPr>
          <w:sz w:val="23"/>
        </w:rPr>
      </w:pPr>
      <w:r>
        <w:rPr>
          <w:sz w:val="23"/>
        </w:rPr>
        <w:tab/>
        <w:t>Litigation Manager</w:t>
      </w:r>
    </w:p>
    <w:sectPr>
      <w:footerReference w:type="default" r:id="rId2"/>
      <w:type w:val="nextPage"/>
      <w:pgSz w:w="12240" w:h="15840"/>
      <w:pgMar w:left="1296" w:right="1296" w:gutter="0" w:header="0" w:top="1440"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/mnt/main-storage/datasets/enron-docs/doc/2000_80ltr.doc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2000-10-11T13:55:00Z</dcterms:created>
  <dc:creator>dhyvl</dc:creator>
  <dc:description/>
  <dc:language>en-CA</dc:language>
  <cp:lastModifiedBy>tsweet</cp:lastModifiedBy>
  <cp:lastPrinted>2000-10-11T17:01:00Z</cp:lastPrinted>
  <dcterms:modified xsi:type="dcterms:W3CDTF">2000-10-11T19:32:00Z</dcterms:modified>
  <cp:revision>14</cp:revision>
  <dc:subject/>
  <dc:title/>
</cp:coreProperties>
</file>