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rFonts w:ascii="Arial Narrow" w:hAnsi="Arial Narrow" w:cs="Arial Narrow"/>
          <w:sz w:val="18"/>
        </w:rPr>
      </w:pPr>
      <w:r>
        <w:rPr>
          <w:rFonts w:cs="Arial Narrow" w:ascii="Arial Narrow" w:hAnsi="Arial Narrow"/>
          <w:sz w:val="18"/>
        </w:rPr>
        <w:tab/>
        <w:tab/>
        <w:tab/>
        <w:tab/>
        <w:tab/>
        <w:tab/>
        <w:t>November 13, 2000</w:t>
      </w:r>
    </w:p>
    <w:p>
      <w:pPr>
        <w:pStyle w:val="Normal"/>
        <w:rPr>
          <w:rFonts w:ascii="Arial Narrow" w:hAnsi="Arial Narrow" w:cs="Arial Narrow"/>
          <w:sz w:val="18"/>
        </w:rPr>
      </w:pPr>
      <w:r>
        <w:rPr>
          <w:rFonts w:cs="Arial Narrow" w:ascii="Arial Narrow" w:hAnsi="Arial Narrow"/>
          <w:sz w:val="18"/>
        </w:rPr>
      </w:r>
    </w:p>
    <w:p>
      <w:pPr>
        <w:pStyle w:val="Normal"/>
        <w:rPr>
          <w:sz w:val="18"/>
        </w:rPr>
      </w:pPr>
      <w:r>
        <w:rPr>
          <w:sz w:val="18"/>
        </w:rPr>
      </w:r>
    </w:p>
    <w:p>
      <w:pPr>
        <w:pStyle w:val="Normal"/>
        <w:autoSpaceDE w:val="false"/>
        <w:spacing w:lineRule="atLeast" w:line="240"/>
        <w:rPr>
          <w:rFonts w:ascii="Arial Narrow" w:hAnsi="Arial Narrow" w:cs="Arial Narrow"/>
          <w:color w:val="000000"/>
          <w:sz w:val="18"/>
          <w:szCs w:val="20"/>
        </w:rPr>
      </w:pPr>
      <w:r>
        <w:rPr>
          <w:rFonts w:cs="Arial Narrow" w:ascii="Arial Narrow" w:hAnsi="Arial Narrow"/>
          <w:color w:val="000000"/>
          <w:sz w:val="18"/>
          <w:szCs w:val="20"/>
        </w:rPr>
        <w:t>Engelhard Corpration</w:t>
      </w:r>
    </w:p>
    <w:p>
      <w:pPr>
        <w:pStyle w:val="Normal"/>
        <w:autoSpaceDE w:val="false"/>
        <w:spacing w:lineRule="atLeast" w:line="240"/>
        <w:rPr>
          <w:rFonts w:ascii="Arial Narrow" w:hAnsi="Arial Narrow" w:cs="Arial Narrow"/>
          <w:color w:val="000000"/>
          <w:sz w:val="18"/>
          <w:szCs w:val="20"/>
        </w:rPr>
      </w:pPr>
      <w:r>
        <w:rPr>
          <w:rFonts w:cs="Arial Narrow" w:ascii="Arial Narrow" w:hAnsi="Arial Narrow"/>
          <w:color w:val="000000"/>
          <w:sz w:val="18"/>
          <w:szCs w:val="20"/>
        </w:rPr>
        <w:t>10,001 Chemical Road</w:t>
      </w:r>
    </w:p>
    <w:p>
      <w:pPr>
        <w:pStyle w:val="Normal"/>
        <w:rPr>
          <w:rFonts w:ascii="Arial Narrow" w:hAnsi="Arial Narrow" w:cs="Arial Narrow"/>
          <w:sz w:val="18"/>
        </w:rPr>
      </w:pPr>
      <w:r>
        <w:rPr>
          <w:rFonts w:cs="Arial Narrow" w:ascii="Arial Narrow" w:hAnsi="Arial Narrow"/>
          <w:color w:val="000000"/>
          <w:sz w:val="18"/>
          <w:szCs w:val="20"/>
        </w:rPr>
        <w:t>Pasadena, Texas 77507</w:t>
      </w:r>
    </w:p>
    <w:p>
      <w:pPr>
        <w:pStyle w:val="Normal"/>
        <w:rPr>
          <w:rFonts w:ascii="Arial Narrow" w:hAnsi="Arial Narrow" w:cs="Arial Narrow"/>
          <w:sz w:val="18"/>
        </w:rPr>
      </w:pPr>
      <w:r>
        <w:rPr>
          <w:rFonts w:cs="Arial Narrow" w:ascii="Arial Narrow" w:hAnsi="Arial Narrow"/>
          <w:sz w:val="18"/>
        </w:rPr>
      </w:r>
    </w:p>
    <w:p>
      <w:pPr>
        <w:pStyle w:val="Heading1"/>
        <w:ind w:hanging="0" w:start="0"/>
        <w:rPr/>
      </w:pPr>
      <w:r>
        <w:rPr/>
        <w:t>TRANSACTION AGREEMENT</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shall confirm the Transaction agreed to on October 5, 2000 and binding between Engelhard Corporation ("</w:t>
      </w:r>
      <w:r>
        <w:rPr>
          <w:rFonts w:cs="Arial Narrow" w:ascii="Arial Narrow" w:hAnsi="Arial Narrow"/>
          <w:sz w:val="18"/>
          <w:u w:val="single"/>
        </w:rPr>
        <w:t>Customer</w:t>
      </w:r>
      <w:r>
        <w:rPr>
          <w:rFonts w:cs="Arial Narrow" w:ascii="Arial Narrow" w:hAnsi="Arial Narrow"/>
          <w:sz w:val="18"/>
        </w:rPr>
        <w:t>"), having an office at 10,001 Chemical Road, Pasadena, Texas 77507, and Houston Pipe Line Company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BodyTextIndent"/>
        <w:rPr/>
      </w:pPr>
      <w:r>
        <w:rPr/>
        <w:t>DAILY CONTRACT QUANTITY (DCQ):</w:t>
        <w:tab/>
        <w:t>100% of the total natural gas requirements of Customer’s plant in Bayport, Harris County, Texas.  Seller acknowledges and agrees that the provisions of Section 3.4 of the ENFOLIO Master Firm Purchase/Sale Agreement shall not apply so long as Buyer purchases the DCQ from Seller under the pricing terms provided below.</w:t>
      </w:r>
    </w:p>
    <w:p>
      <w:pPr>
        <w:pStyle w:val="BodyTextIndent"/>
        <w:rPr/>
      </w:pPr>
      <w:r>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MAXDQ:</w:t>
        <w:tab/>
        <w:t>600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DELIVERY POINT(S):</w:t>
        <w:tab/>
        <w:t>Company’s Meter No. 8009 located in Bayport, Harris County, Texas.</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pPr>
      <w:r>
        <w:rPr>
          <w:rFonts w:cs="Arial Narrow" w:ascii="Arial Narrow" w:hAnsi="Arial Narrow"/>
          <w:sz w:val="18"/>
        </w:rPr>
        <w:t>CONTRACT PRICE (per MMBtu):</w:t>
        <w:tab/>
        <w:t xml:space="preserve">HSC Index Price plus $0.26 per MMBtu.  The term “HSC Index Price” shall mean the “Index Price” published in </w:t>
      </w:r>
      <w:r>
        <w:rPr>
          <w:rFonts w:cs="Arial Narrow" w:ascii="Arial Narrow" w:hAnsi="Arial Narrow"/>
          <w:sz w:val="18"/>
          <w:u w:val="single"/>
        </w:rPr>
        <w:t>Inside F.E.R.C.’s Gas Market Report</w:t>
      </w:r>
      <w:r>
        <w:rPr>
          <w:rFonts w:cs="Arial Narrow" w:ascii="Arial Narrow" w:hAnsi="Arial Narrow"/>
          <w:sz w:val="18"/>
        </w:rPr>
        <w:t xml:space="preserve"> for Houston Ship Channel/Beaumont, Texas under the section “index (large packages only)” as listed in the table entitled “Delivered Spot-Gas Price” in the first-of-the-month issue of such publication.</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 xml:space="preserve">PERIOD OF DELIVERY:  </w:t>
        <w:tab/>
        <w:t>November 1, 2000 through October 31, 2001.</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East-Houston-Katy – Houston Ship Channel.</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which Confirm Deadline for the purposes of this Transaction Agreement shall be October 14, 2000.</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4"/>
      </w:rPr>
    </w:pPr>
    <w:r>
      <w:rPr>
        <w:rFonts w:cs="Arial Narrow" w:ascii="Arial Narrow" w:hAnsi="Arial Narrow"/>
        <w:sz w:val="14"/>
      </w:rPr>
      <w:fldChar w:fldCharType="begin"/>
    </w:r>
    <w:r>
      <w:rPr>
        <w:sz w:val="14"/>
        <w:rFonts w:cs="Arial Narrow" w:ascii="Arial Narrow" w:hAnsi="Arial Narrow"/>
      </w:rPr>
      <w:instrText xml:space="preserve"> FILENAME \p </w:instrText>
    </w:r>
    <w:r>
      <w:rPr>
        <w:sz w:val="14"/>
        <w:rFonts w:cs="Arial Narrow" w:ascii="Arial Narrow" w:hAnsi="Arial Narrow"/>
      </w:rPr>
      <w:fldChar w:fldCharType="separate"/>
    </w:r>
    <w:r>
      <w:rPr>
        <w:sz w:val="14"/>
        <w:rFonts w:cs="Arial Narrow" w:ascii="Arial Narrow" w:hAnsi="Arial Narrow"/>
      </w:rPr>
      <w:t>/mnt/main-storage/datasets/enron-docs/doc/2000_79crfm.doc</w:t>
    </w:r>
    <w:r>
      <w:rPr>
        <w:sz w:val="14"/>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691052233"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Houston Pipe Line Company</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tabs>
        <w:tab w:val="clear" w:pos="8640"/>
        <w:tab w:val="center" w:pos="4320" w:leader="none"/>
        <w:tab w:val="right" w:pos="9180" w:leader="none"/>
      </w:tabs>
      <w:ind w:end="-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8640" w:leader="none"/>
      </w:tabs>
      <w:ind w:hanging="4320" w:start="432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2000-10-10T15:42:00Z</dcterms:created>
  <dc:creator>dhyvl</dc:creator>
  <dc:description/>
  <dc:language>en-CA</dc:language>
  <cp:lastModifiedBy>dhyvl</cp:lastModifiedBy>
  <cp:lastPrinted>2000-11-10T14:26:00Z</cp:lastPrinted>
  <dcterms:modified xsi:type="dcterms:W3CDTF">2000-11-10T17:56:00Z</dcterms:modified>
  <cp:revision>6</cp:revision>
  <dc:subject/>
  <dc:title/>
</cp:coreProperties>
</file>