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rPr>
      </w:pPr>
      <w:r>
        <w:rPr>
          <w:rFonts w:cs="Arial Narrow" w:ascii="Arial Narrow" w:hAnsi="Arial Narrow"/>
        </w:rPr>
        <w:t>November 13, 2000</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t>Mobil Oil Corporation</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t>Beaumont Refinery</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t>P.O. Box 3311</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t>Beaumont, Texas  77704</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rPr>
      </w:pPr>
      <w:r>
        <w:rPr>
          <w:rFonts w:cs="Arial Narrow" w:ascii="Arial Narrow" w:hAnsi="Arial Narrow"/>
          <w:b/>
        </w:rPr>
        <w:t>TRANSACTION AGREEMENT</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rPr>
      </w:pPr>
      <w:r>
        <w:rPr>
          <w:rFonts w:cs="Arial Narrow" w:ascii="Arial Narrow" w:hAnsi="Arial Narrow"/>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end="-900"/>
        <w:jc w:val="both"/>
        <w:rPr/>
      </w:pPr>
      <w:r>
        <w:rPr>
          <w:rFonts w:cs="Arial Narrow" w:ascii="Arial Narrow" w:hAnsi="Arial Narrow"/>
        </w:rPr>
        <w:tab/>
        <w:t>This firm Transaction Agreement shall form and effectuate the proposed agreement between Mobil Oil Corporation ("</w:t>
      </w:r>
      <w:r>
        <w:rPr>
          <w:rFonts w:cs="Arial Narrow" w:ascii="Arial Narrow" w:hAnsi="Arial Narrow"/>
          <w:u w:val="single"/>
        </w:rPr>
        <w:t>Customer</w:t>
      </w:r>
      <w:r>
        <w:rPr>
          <w:rFonts w:cs="Arial Narrow" w:ascii="Arial Narrow" w:hAnsi="Arial Narrow"/>
        </w:rPr>
        <w:t>") and Houston Pipe Line Company ("</w:t>
      </w:r>
      <w:r>
        <w:rPr>
          <w:rFonts w:cs="Arial Narrow" w:ascii="Arial Narrow" w:hAnsi="Arial Narrow"/>
          <w:u w:val="single"/>
        </w:rPr>
        <w:t>Company</w:t>
      </w:r>
      <w:r>
        <w:rPr>
          <w:rFonts w:cs="Arial Narrow" w:ascii="Arial Narrow" w:hAnsi="Arial Narrow"/>
        </w:rPr>
        <w:t>") regarding the firm sale/purchase of Gas under the following terms and conditions. This Transaction Agreement is being provided pursuant to and in accordance with the Enfolio Master Firm Purchase/Sale Agreement dated October 1, 1995 between Customer and Company (assignee of HPL Resources Company) (the “Agreement”) and constitutes part of and is subject to all of the terms and provisions of such Agreement.  Capitalized terms herein used, but not defined, shall have the meanings set forth in the Agreement.  Customer to purchase and receive (“</w:t>
      </w:r>
      <w:r>
        <w:rPr>
          <w:rFonts w:cs="Arial Narrow" w:ascii="Arial Narrow" w:hAnsi="Arial Narrow"/>
          <w:u w:val="single"/>
        </w:rPr>
        <w:t>Buyer</w:t>
      </w:r>
      <w:r>
        <w:rPr>
          <w:rFonts w:cs="Arial Narrow" w:ascii="Arial Narrow" w:hAnsi="Arial Narrow"/>
        </w:rPr>
        <w:t>”); Company to sell and deliver (“</w:t>
      </w:r>
      <w:r>
        <w:rPr>
          <w:rFonts w:cs="Arial Narrow" w:ascii="Arial Narrow" w:hAnsi="Arial Narrow"/>
          <w:u w:val="single"/>
        </w:rPr>
        <w:t>Seller</w:t>
      </w:r>
      <w:r>
        <w:rPr>
          <w:rFonts w:cs="Arial Narrow" w:ascii="Arial Narrow" w:hAnsi="Arial Narrow"/>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end="-900"/>
        <w:jc w:val="both"/>
        <w:rPr>
          <w:rFonts w:ascii="Arial Narrow" w:hAnsi="Arial Narrow" w:cs="Arial Narrow"/>
        </w:rPr>
      </w:pPr>
      <w:r>
        <w:rPr>
          <w:rFonts w:cs="Arial Narrow" w:ascii="Arial Narrow" w:hAnsi="Arial Narrow"/>
        </w:rPr>
      </w:r>
    </w:p>
    <w:p>
      <w:pPr>
        <w:pStyle w:val="Heading1"/>
        <w:rPr/>
      </w:pPr>
      <w:r>
        <w:rPr/>
        <w:t>Part I</w:t>
      </w:r>
    </w:p>
    <w:p>
      <w:pPr>
        <w:pStyle w:val="Normal"/>
        <w:tabs>
          <w:tab w:val="clear" w:pos="720"/>
          <w:tab w:val="left" w:pos="690" w:leader="none"/>
          <w:tab w:val="left" w:pos="1440" w:leader="none"/>
          <w:tab w:val="left" w:pos="2160" w:leader="none"/>
          <w:tab w:val="left" w:pos="5280" w:leader="none"/>
          <w:tab w:val="left" w:pos="9180" w:leader="none"/>
        </w:tabs>
        <w:jc w:val="both"/>
        <w:rPr>
          <w:rFonts w:ascii="Arial Narrow" w:hAnsi="Arial Narrow" w:cs="Arial Narrow"/>
        </w:rPr>
      </w:pPr>
      <w:r>
        <w:rPr>
          <w:rFonts w:cs="Arial Narrow" w:ascii="Arial Narrow" w:hAnsi="Arial Narrow"/>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rPr>
              <w:t>DAILY CONTRACT QUANTITY ("</w:t>
            </w:r>
            <w:r>
              <w:rPr>
                <w:rFonts w:cs="Arial Narrow" w:ascii="Arial Narrow" w:hAnsi="Arial Narrow"/>
                <w:u w:val="single"/>
              </w:rPr>
              <w:t>DCQ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1.  A volume of between 60,000 and 80,000 MMBtu/day to be nominated by Buyer not less than five (5) days prior to the start of each month during the period from November 1, 2000 through March 31, 2001.</w:t>
            </w:r>
          </w:p>
          <w:p>
            <w:pPr>
              <w:pStyle w:val="Normal"/>
              <w:jc w:val="both"/>
              <w:rPr>
                <w:rFonts w:ascii="Arial Narrow" w:hAnsi="Arial Narrow" w:cs="Arial Narrow"/>
              </w:rPr>
            </w:pPr>
            <w:r>
              <w:rPr>
                <w:rFonts w:cs="Arial Narrow" w:ascii="Arial Narrow" w:hAnsi="Arial Narrow"/>
              </w:rPr>
              <w:t>2.  A volume of between 80,000 and 100,000 MMBtu/day to be nominated by Buyer not less than five (5) days prior to the start of each month during the period from April 1, 2001 through September 30, 2002.</w:t>
            </w:r>
          </w:p>
        </w:tc>
      </w:tr>
      <w:tr>
        <w:trPr/>
        <w:tc>
          <w:tcPr>
            <w:tcW w:w="4428" w:type="dxa"/>
            <w:tcBorders/>
          </w:tcPr>
          <w:p>
            <w:pPr>
              <w:pStyle w:val="Normal"/>
              <w:snapToGrid w:val="false"/>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pPr>
            <w:r>
              <w:rPr>
                <w:rFonts w:cs="Arial Narrow" w:ascii="Arial Narrow" w:hAnsi="Arial Narrow"/>
              </w:rPr>
              <w:t>MAXIMUM DAILY QUANTITY (“</w:t>
            </w:r>
            <w:r>
              <w:rPr>
                <w:rFonts w:cs="Arial Narrow" w:ascii="Arial Narrow" w:hAnsi="Arial Narrow"/>
                <w:u w:val="single"/>
              </w:rPr>
              <w:t>MaxDQ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30,000 MMBtu/day above the DCQ applicable for the month.</w:t>
            </w:r>
          </w:p>
        </w:tc>
      </w:tr>
      <w:tr>
        <w:trPr/>
        <w:tc>
          <w:tcPr>
            <w:tcW w:w="4428" w:type="dxa"/>
            <w:tcBorders/>
          </w:tcPr>
          <w:p>
            <w:pPr>
              <w:pStyle w:val="Normal"/>
              <w:snapToGrid w:val="false"/>
              <w:jc w:val="both"/>
              <w:rPr>
                <w:rFonts w:ascii="Arial Narrow" w:hAnsi="Arial Narrow" w:cs="Arial Narrow"/>
                <w:u w:val="single"/>
              </w:rPr>
            </w:pPr>
            <w:r>
              <w:rPr>
                <w:rFonts w:cs="Arial Narrow" w:ascii="Arial Narrow" w:hAnsi="Arial Narrow"/>
                <w:u w:val="single"/>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EXCESS GAS:</w:t>
            </w:r>
          </w:p>
        </w:tc>
        <w:tc>
          <w:tcPr>
            <w:tcW w:w="5947" w:type="dxa"/>
            <w:tcBorders/>
          </w:tcPr>
          <w:p>
            <w:pPr>
              <w:pStyle w:val="Normal"/>
              <w:jc w:val="both"/>
              <w:rPr>
                <w:rFonts w:ascii="Arial Narrow" w:hAnsi="Arial Narrow" w:cs="Arial Narrow"/>
              </w:rPr>
            </w:pPr>
            <w:r>
              <w:rPr>
                <w:rFonts w:cs="Arial Narrow" w:ascii="Arial Narrow" w:hAnsi="Arial Narrow"/>
              </w:rPr>
              <w:t>Seller may make available and Buyer may purchase volumes in excess of the MaxDQ; provided, however, such excess volumes shall be sold and delivered by Seller and purchased and received by Buyer on an interruptible basis.  Seller agrees to provide Buyer with one day’s notice prior to interrupting such excess gas hereunder.</w:t>
            </w:r>
          </w:p>
          <w:p>
            <w:pPr>
              <w:pStyle w:val="Normal"/>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ADDITIONAL VOLUMES:</w:t>
            </w:r>
          </w:p>
        </w:tc>
        <w:tc>
          <w:tcPr>
            <w:tcW w:w="5947" w:type="dxa"/>
            <w:tcBorders/>
          </w:tcPr>
          <w:p>
            <w:pPr>
              <w:pStyle w:val="Normal"/>
              <w:jc w:val="both"/>
              <w:rPr>
                <w:rFonts w:ascii="Arial Narrow" w:hAnsi="Arial Narrow" w:cs="Arial Narrow"/>
              </w:rPr>
            </w:pPr>
            <w:r>
              <w:rPr>
                <w:rFonts w:cs="Arial Narrow" w:ascii="Arial Narrow" w:hAnsi="Arial Narrow"/>
              </w:rPr>
              <w:t>Buyer and Seller may agree during the middle of a month upon additional gas volumes to be sold and delivered to Buyer from time to time for the remainder of the month and the price thereof.</w:t>
            </w:r>
          </w:p>
        </w:tc>
      </w:tr>
      <w:tr>
        <w:trPr/>
        <w:tc>
          <w:tcPr>
            <w:tcW w:w="4428" w:type="dxa"/>
            <w:tcBorders/>
          </w:tcPr>
          <w:p>
            <w:pPr>
              <w:pStyle w:val="Normal"/>
              <w:snapToGrid w:val="false"/>
              <w:jc w:val="both"/>
              <w:rPr>
                <w:rFonts w:ascii="Arial Narrow" w:hAnsi="Arial Narrow" w:cs="Arial Narrow"/>
                <w:u w:val="single"/>
              </w:rPr>
            </w:pPr>
            <w:r>
              <w:rPr>
                <w:rFonts w:cs="Arial Narrow" w:ascii="Arial Narrow" w:hAnsi="Arial Narrow"/>
                <w:u w:val="single"/>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1800" w:leader="none"/>
              </w:tabs>
              <w:jc w:val="both"/>
              <w:rPr>
                <w:rFonts w:ascii="Arial Narrow" w:hAnsi="Arial Narrow" w:cs="Arial Narrow"/>
              </w:rPr>
            </w:pPr>
            <w:r>
              <w:rPr>
                <w:rFonts w:cs="Arial Narrow" w:ascii="Arial Narrow" w:hAnsi="Arial Narrow"/>
              </w:rPr>
              <w:t>DELIVERY POINT – Primary</w:t>
            </w:r>
          </w:p>
          <w:p>
            <w:pPr>
              <w:pStyle w:val="Normal"/>
              <w:tabs>
                <w:tab w:val="clear" w:pos="720"/>
                <w:tab w:val="left" w:pos="1800" w:leader="none"/>
              </w:tabs>
              <w:jc w:val="both"/>
              <w:rPr>
                <w:rFonts w:ascii="Arial Narrow" w:hAnsi="Arial Narrow" w:cs="Arial Narrow"/>
              </w:rPr>
            </w:pPr>
            <w:r>
              <w:rPr>
                <w:rFonts w:cs="Arial Narrow" w:ascii="Arial Narrow" w:hAnsi="Arial Narrow"/>
              </w:rPr>
            </w:r>
          </w:p>
          <w:p>
            <w:pPr>
              <w:pStyle w:val="Normal"/>
              <w:tabs>
                <w:tab w:val="clear" w:pos="720"/>
                <w:tab w:val="left" w:pos="1800" w:leader="none"/>
              </w:tabs>
              <w:jc w:val="both"/>
              <w:rPr>
                <w:rFonts w:ascii="Arial Narrow" w:hAnsi="Arial Narrow" w:cs="Arial Narrow"/>
              </w:rPr>
            </w:pPr>
            <w:r>
              <w:rPr>
                <w:rFonts w:cs="Arial Narrow" w:ascii="Arial Narrow" w:hAnsi="Arial Narrow"/>
              </w:rPr>
            </w:r>
          </w:p>
          <w:p>
            <w:pPr>
              <w:pStyle w:val="Normal"/>
              <w:tabs>
                <w:tab w:val="clear" w:pos="720"/>
                <w:tab w:val="left" w:pos="1800" w:leader="none"/>
              </w:tabs>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Secondary</w:t>
            </w:r>
          </w:p>
        </w:tc>
        <w:tc>
          <w:tcPr>
            <w:tcW w:w="5947" w:type="dxa"/>
            <w:tcBorders/>
          </w:tcPr>
          <w:p>
            <w:pPr>
              <w:pStyle w:val="Normal"/>
              <w:jc w:val="both"/>
              <w:rPr>
                <w:rFonts w:ascii="Arial Narrow" w:hAnsi="Arial Narrow" w:cs="Arial Narrow"/>
              </w:rPr>
            </w:pPr>
            <w:r>
              <w:rPr>
                <w:rFonts w:cs="Arial Narrow" w:ascii="Arial Narrow" w:hAnsi="Arial Narrow"/>
              </w:rPr>
              <w:t>Houston Pipe Line Company Meter 1040 located in Jefferson County, Texas. (Low pressure delivery to Buyer’s facility.)</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Houston Pipe Line Company Meter 1576 located in Jefferson County, Texas. (High pressure delivery to Buyer’s facility.)</w:t>
            </w:r>
          </w:p>
          <w:p>
            <w:pPr>
              <w:pStyle w:val="Normal"/>
              <w:jc w:val="both"/>
              <w:rPr>
                <w:rFonts w:ascii="Arial Narrow" w:hAnsi="Arial Narrow" w:cs="Arial Narrow"/>
              </w:rPr>
            </w:pPr>
            <w:r>
              <w:rPr>
                <w:rFonts w:cs="Arial Narrow" w:ascii="Arial Narrow" w:hAnsi="Arial Narrow"/>
              </w:rPr>
              <w:t>The meter stations of other pipelines serving the low pressure system of Buyer’s facilities.</w:t>
            </w:r>
          </w:p>
          <w:p>
            <w:pPr>
              <w:pStyle w:val="Normal"/>
              <w:jc w:val="both"/>
              <w:rPr>
                <w:rFonts w:ascii="Arial Narrow" w:hAnsi="Arial Narrow" w:cs="Arial Narrow"/>
              </w:rPr>
            </w:pPr>
            <w:r>
              <w:rPr>
                <w:rFonts w:cs="Arial Narrow" w:ascii="Arial Narrow" w:hAnsi="Arial Narrow"/>
              </w:rPr>
              <w:t>Such Secondary Delivery Points to be utilized only if both parties agree.</w:t>
            </w:r>
          </w:p>
        </w:tc>
      </w:tr>
      <w:tr>
        <w:trPr/>
        <w:tc>
          <w:tcPr>
            <w:tcW w:w="4428" w:type="dxa"/>
            <w:tcBorders/>
          </w:tcPr>
          <w:p>
            <w:pPr>
              <w:pStyle w:val="Normal"/>
              <w:snapToGrid w:val="false"/>
              <w:jc w:val="both"/>
              <w:rPr>
                <w:rFonts w:ascii="Arial Narrow" w:hAnsi="Arial Narrow" w:cs="Arial Narrow"/>
                <w:u w:val="single"/>
              </w:rPr>
            </w:pPr>
            <w:r>
              <w:rPr>
                <w:rFonts w:cs="Arial Narrow" w:ascii="Arial Narrow" w:hAnsi="Arial Narrow"/>
                <w:u w:val="single"/>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PERIOD OF DELIVERY:</w:t>
            </w:r>
          </w:p>
        </w:tc>
        <w:tc>
          <w:tcPr>
            <w:tcW w:w="5947" w:type="dxa"/>
            <w:tcBorders/>
          </w:tcPr>
          <w:p>
            <w:pPr>
              <w:pStyle w:val="Normal"/>
              <w:jc w:val="both"/>
              <w:rPr>
                <w:rFonts w:ascii="Arial Narrow" w:hAnsi="Arial Narrow" w:cs="Arial Narrow"/>
              </w:rPr>
            </w:pPr>
            <w:r>
              <w:rPr>
                <w:rFonts w:cs="Arial Narrow" w:ascii="Arial Narrow" w:hAnsi="Arial Narrow"/>
              </w:rPr>
              <w:t xml:space="preserve">November 1, 2000 through September 30, 2002 </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CONTRACT PRICE (per MMBtu):</w:t>
            </w:r>
          </w:p>
        </w:tc>
        <w:tc>
          <w:tcPr>
            <w:tcW w:w="5947" w:type="dxa"/>
            <w:tcBorders/>
          </w:tcPr>
          <w:p>
            <w:pPr>
              <w:pStyle w:val="Normal"/>
              <w:jc w:val="both"/>
              <w:rPr>
                <w:rFonts w:ascii="Arial Narrow" w:hAnsi="Arial Narrow" w:cs="Arial Narrow"/>
              </w:rPr>
            </w:pPr>
            <w:r>
              <w:rPr>
                <w:rFonts w:cs="Arial Narrow" w:ascii="Arial Narrow" w:hAnsi="Arial Narrow"/>
              </w:rPr>
              <w:t>The Contract Price per MMBtu each Month during the Period of Delivery shall be as follows:</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 xml:space="preserve">1. For the DCQ the Contract Price per MMBtu shall be the "Houston Ship Channel/Beaumont, Texas" price published in the first of the month issue of McGraw-Hill's </w:t>
            </w:r>
            <w:r>
              <w:rPr>
                <w:rFonts w:cs="Arial Narrow" w:ascii="Arial Narrow" w:hAnsi="Arial Narrow"/>
                <w:u w:val="single"/>
              </w:rPr>
              <w:t>Inside F.E.R.C.'s Gas Market Report</w:t>
            </w:r>
            <w:r>
              <w:rPr>
                <w:rFonts w:cs="Arial Narrow" w:ascii="Arial Narrow" w:hAnsi="Arial Narrow"/>
              </w:rPr>
              <w:t xml:space="preserve"> as reported as the "Index (large packages only)" price in the table "Delivered Spot-Gas Prices".</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rFonts w:ascii="Arial Narrow" w:hAnsi="Arial Narrow" w:cs="Arial Narrow"/>
              </w:rPr>
            </w:pPr>
            <w:r>
              <w:rPr>
                <w:rFonts w:cs="Arial Narrow" w:ascii="Arial Narrow" w:hAnsi="Arial Narrow"/>
              </w:rPr>
              <w:t>2.  For volumes in excess of the DCQ the Contract Price per MMBtu shall be as follows:</w:t>
            </w:r>
          </w:p>
          <w:p>
            <w:pPr>
              <w:pStyle w:val="Normal"/>
              <w:numPr>
                <w:ilvl w:val="0"/>
                <w:numId w:val="2"/>
              </w:numPr>
              <w:tabs>
                <w:tab w:val="clear" w:pos="720"/>
                <w:tab w:val="left" w:pos="342" w:leader="none"/>
              </w:tabs>
              <w:jc w:val="both"/>
              <w:rPr>
                <w:rFonts w:ascii="Arial Narrow" w:hAnsi="Arial Narrow" w:cs="Arial Narrow"/>
                <w:color w:val="000000"/>
              </w:rPr>
            </w:pPr>
            <w:r>
              <w:rPr>
                <w:rFonts w:cs="Arial Narrow" w:ascii="Arial Narrow" w:hAnsi="Arial Narrow"/>
              </w:rPr>
              <w:t xml:space="preserve">For the first 15,000 MMBtu per day in excess of the DCQ, the higher of the HSC </w:t>
            </w:r>
            <w:r>
              <w:rPr>
                <w:rFonts w:cs="Arial Narrow" w:ascii="Arial Narrow" w:hAnsi="Arial Narrow"/>
                <w:color w:val="000000"/>
              </w:rPr>
              <w:t>Gas Daily Price for the day of flow and the following day.</w:t>
            </w:r>
          </w:p>
          <w:p>
            <w:pPr>
              <w:pStyle w:val="Normal"/>
              <w:numPr>
                <w:ilvl w:val="0"/>
                <w:numId w:val="2"/>
              </w:numPr>
              <w:tabs>
                <w:tab w:val="clear" w:pos="720"/>
                <w:tab w:val="left" w:pos="342" w:leader="none"/>
              </w:tabs>
              <w:jc w:val="both"/>
              <w:rPr>
                <w:rFonts w:ascii="Arial Narrow" w:hAnsi="Arial Narrow" w:cs="Arial Narrow"/>
              </w:rPr>
            </w:pPr>
            <w:r>
              <w:rPr>
                <w:rFonts w:cs="Arial Narrow" w:ascii="Arial Narrow" w:hAnsi="Arial Narrow"/>
                <w:color w:val="000000"/>
              </w:rPr>
              <w:t xml:space="preserve">For the next 15,000 MMBtu per day in excess of the volumes priced in (a), the highest of the HSC Gas Daily Price for the day of flow and the two following days. </w:t>
            </w:r>
          </w:p>
          <w:p>
            <w:pPr>
              <w:pStyle w:val="Normal"/>
              <w:tabs>
                <w:tab w:val="clear" w:pos="720"/>
                <w:tab w:val="left" w:pos="342" w:leader="none"/>
              </w:tabs>
              <w:jc w:val="both"/>
              <w:rPr>
                <w:rFonts w:ascii="Arial Narrow" w:hAnsi="Arial Narrow" w:cs="Arial Narrow"/>
              </w:rPr>
            </w:pPr>
            <w:r>
              <w:rPr>
                <w:rFonts w:cs="Arial Narrow" w:ascii="Arial Narrow" w:hAnsi="Arial Narrow"/>
              </w:rPr>
            </w:r>
          </w:p>
          <w:p>
            <w:pPr>
              <w:pStyle w:val="Normal"/>
              <w:tabs>
                <w:tab w:val="clear" w:pos="720"/>
                <w:tab w:val="left" w:pos="342" w:leader="none"/>
              </w:tabs>
              <w:jc w:val="both"/>
              <w:rPr>
                <w:rFonts w:ascii="Arial Narrow" w:hAnsi="Arial Narrow" w:cs="Arial Narrow"/>
              </w:rPr>
            </w:pPr>
            <w:r>
              <w:rPr>
                <w:rFonts w:cs="Arial Narrow" w:ascii="Arial Narrow" w:hAnsi="Arial Narrow"/>
              </w:rPr>
              <w:t>3.  For volumes in excess of the MaxDQ the Contract Price per MMBtu shall be the highest of (a) the HSC Gas Daily Price for the day of flow and the two following days or (b) the price communicated by Seller to Buyer with not less than one (1) day’s notice.</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DEFICIENCY VOLUMES:</w:t>
            </w:r>
          </w:p>
        </w:tc>
        <w:tc>
          <w:tcPr>
            <w:tcW w:w="5947" w:type="dxa"/>
            <w:tcBorders/>
          </w:tcPr>
          <w:p>
            <w:pPr>
              <w:pStyle w:val="Normal"/>
              <w:jc w:val="both"/>
              <w:rPr>
                <w:rFonts w:ascii="Arial Narrow" w:hAnsi="Arial Narrow" w:cs="Arial Narrow"/>
              </w:rPr>
            </w:pPr>
            <w:r>
              <w:rPr>
                <w:rFonts w:cs="Arial Narrow" w:ascii="Arial Narrow" w:hAnsi="Arial Narrow"/>
              </w:rPr>
              <w:t>In the event Customer fails to purchase and receive the DCQ for any day during the period of delivery, Company shall purchase the deficiency volumes between the DCQ and the volumes actually purchased and received by Customer for such day, due to operational reasons and not excused by Force Majeure at the following prices:  For the first 10,000 MMBtu per day, the lower of the Katy Gas Daily Price for the day the deficiency occurred and the following day; and for any deficiency volumes over 10,000 MMBtu per day, the lowest of the Katy Gas Daily Price for the day the deficiency occurred and the following two days.</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SCHEDULED MAINTENANCE:</w:t>
            </w:r>
          </w:p>
        </w:tc>
        <w:tc>
          <w:tcPr>
            <w:tcW w:w="5947" w:type="dxa"/>
            <w:tcBorders/>
          </w:tcPr>
          <w:p>
            <w:pPr>
              <w:pStyle w:val="BodyText2"/>
              <w:rPr/>
            </w:pPr>
            <w:r>
              <w:rPr/>
              <w:t>Upon not less than 60 days prior written notice prior to the beginning of a month, Buyer shall notify Seller as to the beginning and scheduled completion of any Scheduled Maintenance that is to be performed at Buyer’s facility during the month and which of the two tools provided below that Buyer elects to utilize with regard to any volume deficiency that may be proposed with regard to such Scheduled Maintenance.</w:t>
            </w:r>
          </w:p>
          <w:p>
            <w:pPr>
              <w:pStyle w:val="Normal"/>
              <w:jc w:val="both"/>
              <w:rPr>
                <w:rFonts w:ascii="Arial Narrow" w:hAnsi="Arial Narrow" w:cs="Arial Narrow"/>
              </w:rPr>
            </w:pPr>
            <w:r>
              <w:rPr>
                <w:rFonts w:cs="Arial Narrow" w:ascii="Arial Narrow" w:hAnsi="Arial Narrow"/>
              </w:rPr>
            </w:r>
          </w:p>
          <w:p>
            <w:pPr>
              <w:pStyle w:val="Normal"/>
              <w:ind w:hanging="792" w:start="792" w:end="0"/>
              <w:jc w:val="both"/>
              <w:rPr>
                <w:rFonts w:ascii="Arial Narrow" w:hAnsi="Arial Narrow" w:cs="Arial Narrow"/>
              </w:rPr>
            </w:pPr>
            <w:r>
              <w:rPr>
                <w:rFonts w:cs="Arial Narrow" w:ascii="Arial Narrow" w:hAnsi="Arial Narrow"/>
              </w:rPr>
              <w:t xml:space="preserve">Tool 1: </w:t>
              <w:tab/>
              <w:t>Buyer shall nominate a DCQ in accordance with the minimum and maximum tolerances provided under Daily Contract Quantity (DCQ) above and to the extent that deficiency volumes occur as a result of such Scheduled Maintenance, Company shall purchase such deficiency volumes at a price per MMBtu equal to the HSC Gas Daily Price published for the day such deficiency volumes occurred less $0.01.</w:t>
            </w:r>
          </w:p>
          <w:p>
            <w:pPr>
              <w:pStyle w:val="Normal"/>
              <w:ind w:hanging="792" w:start="792" w:end="0"/>
              <w:jc w:val="both"/>
              <w:rPr>
                <w:rFonts w:ascii="Arial Narrow" w:hAnsi="Arial Narrow" w:cs="Arial Narrow"/>
              </w:rPr>
            </w:pPr>
            <w:r>
              <w:rPr>
                <w:rFonts w:cs="Arial Narrow" w:ascii="Arial Narrow" w:hAnsi="Arial Narrow"/>
              </w:rPr>
              <w:t xml:space="preserve">Tool 2: </w:t>
              <w:tab/>
              <w:t>Buyer shall determine the minimum volume that Buyer expects to utilize on any day during the duration of such Scheduled Maintenance and such minimum volume shall be nominated as the DCQ for such month and Buyer shall trigger the following pricing for the volumes above such DCQ nominated by Buyer and the minimum DCQ applicable during such month under Daily Contract Quantity (DCQ) above. The Contract Price per MMBtu to be applicable for each day that Buyer purchases and receives volumes above the nominated DCQ and the minimum DCQ applicable for the month during which the Scheduled Maintenance is to occur shall be equal to the HSC Gas Daily Price for such day plus $0.03.</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SPOT PRICE (LOCATION):</w:t>
            </w:r>
          </w:p>
        </w:tc>
        <w:tc>
          <w:tcPr>
            <w:tcW w:w="5947" w:type="dxa"/>
            <w:tcBorders/>
          </w:tcPr>
          <w:p>
            <w:pPr>
              <w:pStyle w:val="Normal"/>
              <w:jc w:val="both"/>
              <w:rPr>
                <w:rFonts w:ascii="Arial Narrow" w:hAnsi="Arial Narrow" w:cs="Arial Narrow"/>
              </w:rPr>
            </w:pPr>
            <w:r>
              <w:rPr>
                <w:rFonts w:cs="Arial Narrow" w:ascii="Arial Narrow" w:hAnsi="Arial Narrow"/>
              </w:rPr>
              <w:t>East Houston Katy - Houston Ship Channel</w:t>
            </w:r>
          </w:p>
        </w:tc>
      </w:tr>
    </w:tbl>
    <w:p>
      <w:pPr>
        <w:pStyle w:val="Normal"/>
        <w:tabs>
          <w:tab w:val="clear" w:pos="720"/>
          <w:tab w:val="center" w:pos="10800" w:leader="none"/>
        </w:tabs>
        <w:jc w:val="both"/>
        <w:rPr>
          <w:rFonts w:ascii="Arial Narrow" w:hAnsi="Arial Narrow" w:cs="Arial Narrow"/>
          <w:b/>
        </w:rPr>
      </w:pPr>
      <w:r>
        <w:rPr>
          <w:rFonts w:cs="Arial Narrow" w:ascii="Arial Narrow" w:hAnsi="Arial Narrow"/>
          <w:b/>
        </w:rPr>
      </w:r>
    </w:p>
    <w:tbl>
      <w:tblPr>
        <w:tblW w:w="10620" w:type="dxa"/>
        <w:jc w:val="start"/>
        <w:tblInd w:w="0" w:type="dxa"/>
        <w:tblLayout w:type="fixed"/>
        <w:tblCellMar>
          <w:top w:w="0" w:type="dxa"/>
          <w:start w:w="360" w:type="dxa"/>
          <w:bottom w:w="0" w:type="dxa"/>
          <w:end w:w="115" w:type="dxa"/>
        </w:tblCellMar>
      </w:tblPr>
      <w:tblGrid>
        <w:gridCol w:w="4680"/>
        <w:gridCol w:w="5940"/>
      </w:tblGrid>
      <w:tr>
        <w:trPr/>
        <w:tc>
          <w:tcPr>
            <w:tcW w:w="4680" w:type="dxa"/>
            <w:tcBorders/>
          </w:tcPr>
          <w:p>
            <w:pPr>
              <w:pStyle w:val="Normal"/>
              <w:spacing w:before="0" w:after="120"/>
              <w:ind w:end="180"/>
              <w:jc w:val="both"/>
              <w:rPr>
                <w:rFonts w:ascii="Arial Narrow" w:hAnsi="Arial Narrow" w:cs="Arial Narrow"/>
              </w:rPr>
            </w:pPr>
            <w:r>
              <w:rPr>
                <w:rFonts w:cs="Arial Narrow" w:ascii="Arial Narrow" w:hAnsi="Arial Narrow"/>
              </w:rPr>
              <w:t>OTHER:</w:t>
            </w:r>
          </w:p>
        </w:tc>
        <w:tc>
          <w:tcPr>
            <w:tcW w:w="5940" w:type="dxa"/>
            <w:tcBorders/>
          </w:tcPr>
          <w:p>
            <w:pPr>
              <w:pStyle w:val="Normal"/>
              <w:ind w:hanging="360" w:start="180" w:end="180"/>
              <w:jc w:val="both"/>
              <w:rPr/>
            </w:pPr>
            <w:r>
              <w:rPr>
                <w:rFonts w:cs="Arial Narrow" w:ascii="Arial Narrow" w:hAnsi="Arial Narrow"/>
              </w:rPr>
              <w:t>1. The term “</w:t>
            </w:r>
            <w:r>
              <w:rPr>
                <w:rFonts w:cs="Arial Narrow" w:ascii="Arial Narrow" w:hAnsi="Arial Narrow"/>
                <w:u w:val="single"/>
              </w:rPr>
              <w:t>HSC Gas Daily Price</w:t>
            </w:r>
            <w:r>
              <w:rPr>
                <w:rFonts w:cs="Arial Narrow" w:ascii="Arial Narrow" w:hAnsi="Arial Narrow"/>
              </w:rPr>
              <w:t xml:space="preserve">” means the  “Daily Midpoint” price set forth in </w:t>
            </w:r>
            <w:r>
              <w:rPr>
                <w:rFonts w:cs="Arial Narrow" w:ascii="Arial Narrow" w:hAnsi="Arial Narrow"/>
                <w:u w:val="single"/>
              </w:rPr>
              <w:t>Gas Daily</w:t>
            </w:r>
            <w:r>
              <w:rPr>
                <w:rFonts w:cs="Arial Narrow" w:ascii="Arial Narrow" w:hAnsi="Arial Narrow"/>
              </w:rPr>
              <w:t>® (Financial Times Energy), or successor publication, in the column "Daily Price Survey" under the listing applicable to East-Houston-Katy - Houston Ship Channel for the relevant Gas Day.  The term “</w:t>
            </w:r>
            <w:r>
              <w:rPr>
                <w:rFonts w:cs="Arial Narrow" w:ascii="Arial Narrow" w:hAnsi="Arial Narrow"/>
                <w:u w:val="single"/>
              </w:rPr>
              <w:t>Katy Gas Daily Price</w:t>
            </w:r>
            <w:r>
              <w:rPr>
                <w:rFonts w:cs="Arial Narrow" w:ascii="Arial Narrow" w:hAnsi="Arial Narrow"/>
              </w:rPr>
              <w:t xml:space="preserve">” means the  “Daily Midpoint” price set forth in </w:t>
            </w:r>
            <w:r>
              <w:rPr>
                <w:rFonts w:cs="Arial Narrow" w:ascii="Arial Narrow" w:hAnsi="Arial Narrow"/>
                <w:u w:val="single"/>
              </w:rPr>
              <w:t>Gas Daily</w:t>
            </w:r>
            <w:r>
              <w:rPr>
                <w:rFonts w:cs="Arial Narrow" w:ascii="Arial Narrow" w:hAnsi="Arial Narrow"/>
              </w:rPr>
              <w:t>® (Financial Times Energy), or successor publication, in the column "Daily Price Survey" under the listing applicable to East-Houston-Katy – Katy Plant tailgate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hanging="360" w:start="180" w:end="180"/>
              <w:jc w:val="both"/>
              <w:rPr>
                <w:rFonts w:ascii="Arial Narrow" w:hAnsi="Arial Narrow" w:cs="Arial Narrow"/>
              </w:rPr>
            </w:pPr>
            <w:r>
              <w:rPr>
                <w:rFonts w:cs="Arial Narrow" w:ascii="Arial Narrow" w:hAnsi="Arial Narrow"/>
              </w:rPr>
            </w:r>
          </w:p>
          <w:p>
            <w:pPr>
              <w:pStyle w:val="Normal"/>
              <w:numPr>
                <w:ilvl w:val="0"/>
                <w:numId w:val="3"/>
              </w:numPr>
              <w:ind w:hanging="360" w:start="180" w:end="180"/>
              <w:jc w:val="both"/>
              <w:rPr>
                <w:rFonts w:ascii="Arial Narrow" w:hAnsi="Arial Narrow" w:cs="Arial Narrow"/>
              </w:rPr>
            </w:pPr>
            <w:r>
              <w:rPr>
                <w:rFonts w:cs="Arial Narrow" w:ascii="Arial Narrow" w:hAnsi="Arial Narrow"/>
              </w:rPr>
              <w:t>During any event of Force Majeure, Customer shall prorate Customer's Gas requirements among this Transaction Agreement and the other firm suppliers.</w:t>
            </w:r>
          </w:p>
          <w:p>
            <w:pPr>
              <w:pStyle w:val="Normal"/>
              <w:ind w:start="-180" w:end="180"/>
              <w:jc w:val="both"/>
              <w:rPr>
                <w:rFonts w:ascii="Arial Narrow" w:hAnsi="Arial Narrow" w:cs="Arial Narrow"/>
              </w:rPr>
            </w:pPr>
            <w:r>
              <w:rPr>
                <w:rFonts w:cs="Arial Narrow" w:ascii="Arial Narrow" w:hAnsi="Arial Narrow"/>
              </w:rPr>
            </w:r>
          </w:p>
          <w:p>
            <w:pPr>
              <w:pStyle w:val="Normal"/>
              <w:numPr>
                <w:ilvl w:val="0"/>
                <w:numId w:val="3"/>
              </w:numPr>
              <w:ind w:hanging="360" w:start="180" w:end="180"/>
              <w:jc w:val="both"/>
              <w:rPr>
                <w:rFonts w:ascii="Arial Narrow" w:hAnsi="Arial Narrow" w:cs="Arial Narrow"/>
              </w:rPr>
            </w:pPr>
            <w:r>
              <w:rPr>
                <w:rFonts w:cs="Arial Narrow" w:ascii="Arial Narrow" w:hAnsi="Arial Narrow"/>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tc>
      </w:tr>
      <w:tr>
        <w:trPr/>
        <w:tc>
          <w:tcPr>
            <w:tcW w:w="4680" w:type="dxa"/>
            <w:tcBorders/>
          </w:tcPr>
          <w:p>
            <w:pPr>
              <w:pStyle w:val="Normal"/>
              <w:snapToGrid w:val="false"/>
              <w:ind w:end="187"/>
              <w:jc w:val="both"/>
              <w:rPr>
                <w:rFonts w:ascii="Arial Narrow" w:hAnsi="Arial Narrow" w:cs="Arial Narrow"/>
                <w:u w:val="single"/>
              </w:rPr>
            </w:pPr>
            <w:r>
              <w:rPr>
                <w:rFonts w:cs="Arial Narrow" w:ascii="Arial Narrow" w:hAnsi="Arial Narrow"/>
                <w:u w:val="single"/>
              </w:rPr>
            </w:r>
          </w:p>
        </w:tc>
        <w:tc>
          <w:tcPr>
            <w:tcW w:w="5940" w:type="dxa"/>
            <w:tcBorders/>
          </w:tcPr>
          <w:p>
            <w:pPr>
              <w:pStyle w:val="Normal"/>
              <w:snapToGrid w:val="false"/>
              <w:ind w:hanging="360" w:start="180" w:end="187"/>
              <w:jc w:val="both"/>
              <w:rPr>
                <w:rFonts w:ascii="Arial Narrow" w:hAnsi="Arial Narrow" w:cs="Arial Narrow"/>
              </w:rPr>
            </w:pPr>
            <w:r>
              <w:rPr>
                <w:rFonts w:cs="Arial Narrow" w:ascii="Arial Narrow" w:hAnsi="Arial Narrow"/>
              </w:rPr>
            </w:r>
          </w:p>
        </w:tc>
      </w:tr>
    </w:tbl>
    <w:p>
      <w:pPr>
        <w:pStyle w:val="BodyText"/>
        <w:rPr/>
      </w:pPr>
      <w:r>
        <w:rPr/>
      </w:r>
    </w:p>
    <w:p>
      <w:pPr>
        <w:pStyle w:val="BodyText"/>
        <w:jc w:val="center"/>
        <w:rPr>
          <w:b/>
          <w:bCs/>
        </w:rPr>
      </w:pPr>
      <w:r>
        <w:rPr>
          <w:b/>
          <w:bCs/>
        </w:rPr>
        <w:t>Part II</w:t>
      </w:r>
    </w:p>
    <w:p>
      <w:pPr>
        <w:pStyle w:val="BodyText"/>
        <w:rPr>
          <w:b/>
          <w:bCs/>
        </w:rPr>
      </w:pPr>
      <w:r>
        <w:rPr>
          <w:b/>
          <w:bCs/>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rPr>
              <w:t>DAILY CONTRACT QUANTITY ("</w:t>
            </w:r>
            <w:r>
              <w:rPr>
                <w:rFonts w:cs="Arial Narrow" w:ascii="Arial Narrow" w:hAnsi="Arial Narrow"/>
                <w:u w:val="single"/>
              </w:rPr>
              <w:t>DCQ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100% of Buyer’s LaPorte Chemical Plant gas requirements up to the MaxDQ.</w:t>
            </w:r>
          </w:p>
        </w:tc>
      </w:tr>
      <w:tr>
        <w:trPr/>
        <w:tc>
          <w:tcPr>
            <w:tcW w:w="4428" w:type="dxa"/>
            <w:tcBorders/>
          </w:tcPr>
          <w:p>
            <w:pPr>
              <w:pStyle w:val="Normal"/>
              <w:snapToGrid w:val="false"/>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pPr>
            <w:r>
              <w:rPr>
                <w:rFonts w:cs="Arial Narrow" w:ascii="Arial Narrow" w:hAnsi="Arial Narrow"/>
              </w:rPr>
              <w:t>MAXIMUM DAILY QUANTITY (“</w:t>
            </w:r>
            <w:r>
              <w:rPr>
                <w:rFonts w:cs="Arial Narrow" w:ascii="Arial Narrow" w:hAnsi="Arial Narrow"/>
                <w:u w:val="single"/>
              </w:rPr>
              <w:t>MaxDQ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200 MMBtu.</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1800" w:leader="none"/>
              </w:tabs>
              <w:jc w:val="both"/>
              <w:rPr>
                <w:rFonts w:ascii="Arial Narrow" w:hAnsi="Arial Narrow" w:cs="Arial Narrow"/>
              </w:rPr>
            </w:pPr>
            <w:r>
              <w:rPr>
                <w:rFonts w:cs="Arial Narrow" w:ascii="Arial Narrow" w:hAnsi="Arial Narrow"/>
              </w:rPr>
              <w:t>DELIVERY POINT:</w:t>
            </w:r>
          </w:p>
        </w:tc>
        <w:tc>
          <w:tcPr>
            <w:tcW w:w="5947" w:type="dxa"/>
            <w:tcBorders/>
          </w:tcPr>
          <w:p>
            <w:pPr>
              <w:pStyle w:val="Normal"/>
              <w:jc w:val="both"/>
              <w:rPr>
                <w:rFonts w:ascii="Arial Narrow" w:hAnsi="Arial Narrow" w:cs="Arial Narrow"/>
              </w:rPr>
            </w:pPr>
            <w:r>
              <w:rPr>
                <w:rFonts w:cs="Arial Narrow" w:ascii="Arial Narrow" w:hAnsi="Arial Narrow"/>
              </w:rPr>
              <w:t>Houston Pipe Line Company Meter 1370 located in Harris County, Texas.</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PERIOD OF DELIVERY:</w:t>
            </w:r>
          </w:p>
        </w:tc>
        <w:tc>
          <w:tcPr>
            <w:tcW w:w="5947" w:type="dxa"/>
            <w:tcBorders/>
          </w:tcPr>
          <w:p>
            <w:pPr>
              <w:pStyle w:val="Normal"/>
              <w:jc w:val="both"/>
              <w:rPr>
                <w:rFonts w:ascii="Arial Narrow" w:hAnsi="Arial Narrow" w:cs="Arial Narrow"/>
              </w:rPr>
            </w:pPr>
            <w:r>
              <w:rPr>
                <w:rFonts w:cs="Arial Narrow" w:ascii="Arial Narrow" w:hAnsi="Arial Narrow"/>
              </w:rPr>
              <w:t xml:space="preserve">November 1, 2000 through September 30, 2002 </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CONTRACT PRICE (per MMBtu):</w:t>
            </w:r>
          </w:p>
        </w:tc>
        <w:tc>
          <w:tcPr>
            <w:tcW w:w="5947" w:type="dxa"/>
            <w:tcBorders/>
          </w:tcPr>
          <w:p>
            <w:pPr>
              <w:pStyle w:val="Normal"/>
              <w:tabs>
                <w:tab w:val="clear" w:pos="720"/>
                <w:tab w:val="left" w:pos="342" w:leader="none"/>
              </w:tabs>
              <w:jc w:val="both"/>
              <w:rPr/>
            </w:pPr>
            <w:r>
              <w:rPr>
                <w:rFonts w:cs="Arial Narrow" w:ascii="Arial Narrow" w:hAnsi="Arial Narrow"/>
              </w:rPr>
              <w:t xml:space="preserve">The Contract Price per MMBtu each Month during the Period of Delivery shall be the "Houston Ship Channel/Beaumont, Texas" price published in the first of the month issue of McGraw-Hill's </w:t>
            </w:r>
            <w:r>
              <w:rPr>
                <w:rFonts w:cs="Arial Narrow" w:ascii="Arial Narrow" w:hAnsi="Arial Narrow"/>
                <w:u w:val="single"/>
              </w:rPr>
              <w:t>Inside F.E.R.C.'s Gas Market Report</w:t>
            </w:r>
            <w:r>
              <w:rPr>
                <w:rFonts w:cs="Arial Narrow" w:ascii="Arial Narrow" w:hAnsi="Arial Narrow"/>
              </w:rPr>
              <w:t xml:space="preserve"> as reported as the "Index (large packages only)" price in the table "Delivered Spot-Gas Prices", plus $0.10 per MMBtu.</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SPOT PRICE (LOCATION):</w:t>
            </w:r>
          </w:p>
        </w:tc>
        <w:tc>
          <w:tcPr>
            <w:tcW w:w="5947" w:type="dxa"/>
            <w:tcBorders/>
          </w:tcPr>
          <w:p>
            <w:pPr>
              <w:pStyle w:val="Normal"/>
              <w:jc w:val="both"/>
              <w:rPr>
                <w:rFonts w:ascii="Arial Narrow" w:hAnsi="Arial Narrow" w:cs="Arial Narrow"/>
              </w:rPr>
            </w:pPr>
            <w:r>
              <w:rPr>
                <w:rFonts w:cs="Arial Narrow" w:ascii="Arial Narrow" w:hAnsi="Arial Narrow"/>
              </w:rPr>
              <w:t>East Houston Katy - Houston Ship Channel</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OTHER:</w:t>
            </w:r>
          </w:p>
        </w:tc>
        <w:tc>
          <w:tcPr>
            <w:tcW w:w="5947" w:type="dxa"/>
            <w:tcBorders/>
          </w:tcPr>
          <w:p>
            <w:pPr>
              <w:pStyle w:val="Normal"/>
              <w:jc w:val="both"/>
              <w:rPr>
                <w:rFonts w:ascii="Arial Narrow" w:hAnsi="Arial Narrow" w:cs="Arial Narrow"/>
              </w:rPr>
            </w:pPr>
            <w:r>
              <w:rPr>
                <w:rFonts w:cs="Arial Narrow" w:ascii="Arial Narrow" w:hAnsi="Arial Narrow"/>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tc>
      </w:tr>
    </w:tbl>
    <w:p>
      <w:pPr>
        <w:pStyle w:val="BodyText"/>
        <w:rPr/>
      </w:pPr>
      <w:r>
        <w:rPr/>
      </w:r>
    </w:p>
    <w:p>
      <w:pPr>
        <w:pStyle w:val="BodyText"/>
        <w:jc w:val="center"/>
        <w:rPr>
          <w:b/>
          <w:bCs/>
        </w:rPr>
      </w:pPr>
      <w:r>
        <w:rPr>
          <w:b/>
          <w:bCs/>
        </w:rPr>
        <w:t>Part III</w:t>
      </w:r>
    </w:p>
    <w:p>
      <w:pPr>
        <w:pStyle w:val="BodyText"/>
        <w:rPr>
          <w:b/>
          <w:bCs/>
        </w:rPr>
      </w:pPr>
      <w:r>
        <w:rPr>
          <w:b/>
          <w:bCs/>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rPr>
              <w:t>DAILY CONTRACT QUANTITY ("</w:t>
            </w:r>
            <w:r>
              <w:rPr>
                <w:rFonts w:cs="Arial Narrow" w:ascii="Arial Narrow" w:hAnsi="Arial Narrow"/>
                <w:u w:val="single"/>
              </w:rPr>
              <w:t>DCQ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100% of Buyer’s Houston Olefins Plant gas requirements up to the MaxDQ.</w:t>
            </w:r>
          </w:p>
        </w:tc>
      </w:tr>
      <w:tr>
        <w:trPr/>
        <w:tc>
          <w:tcPr>
            <w:tcW w:w="4428" w:type="dxa"/>
            <w:tcBorders/>
          </w:tcPr>
          <w:p>
            <w:pPr>
              <w:pStyle w:val="Normal"/>
              <w:snapToGrid w:val="false"/>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pPr>
            <w:r>
              <w:rPr>
                <w:rFonts w:cs="Arial Narrow" w:ascii="Arial Narrow" w:hAnsi="Arial Narrow"/>
              </w:rPr>
              <w:t>MAXIMUM DAILY QUANTITY (“</w:t>
            </w:r>
            <w:r>
              <w:rPr>
                <w:rFonts w:cs="Arial Narrow" w:ascii="Arial Narrow" w:hAnsi="Arial Narrow"/>
                <w:u w:val="single"/>
              </w:rPr>
              <w:t>MaxDQ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12,000 MMBtu.</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1800" w:leader="none"/>
              </w:tabs>
              <w:jc w:val="both"/>
              <w:rPr>
                <w:rFonts w:ascii="Arial Narrow" w:hAnsi="Arial Narrow" w:cs="Arial Narrow"/>
              </w:rPr>
            </w:pPr>
            <w:r>
              <w:rPr>
                <w:rFonts w:cs="Arial Narrow" w:ascii="Arial Narrow" w:hAnsi="Arial Narrow"/>
              </w:rPr>
              <w:t>DELIVERY POINT:</w:t>
            </w:r>
          </w:p>
        </w:tc>
        <w:tc>
          <w:tcPr>
            <w:tcW w:w="5947" w:type="dxa"/>
            <w:tcBorders/>
          </w:tcPr>
          <w:p>
            <w:pPr>
              <w:pStyle w:val="Normal"/>
              <w:jc w:val="both"/>
              <w:rPr>
                <w:rFonts w:ascii="Arial Narrow" w:hAnsi="Arial Narrow" w:cs="Arial Narrow"/>
              </w:rPr>
            </w:pPr>
            <w:r>
              <w:rPr>
                <w:rFonts w:cs="Arial Narrow" w:ascii="Arial Narrow" w:hAnsi="Arial Narrow"/>
              </w:rPr>
              <w:t>Houston Pipe Line Company Meter 1256 located in Harris County, Texas.</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PERIOD OF DELIVERY:</w:t>
            </w:r>
          </w:p>
        </w:tc>
        <w:tc>
          <w:tcPr>
            <w:tcW w:w="5947" w:type="dxa"/>
            <w:tcBorders/>
          </w:tcPr>
          <w:p>
            <w:pPr>
              <w:pStyle w:val="Normal"/>
              <w:jc w:val="both"/>
              <w:rPr>
                <w:rFonts w:ascii="Arial Narrow" w:hAnsi="Arial Narrow" w:cs="Arial Narrow"/>
              </w:rPr>
            </w:pPr>
            <w:r>
              <w:rPr>
                <w:rFonts w:cs="Arial Narrow" w:ascii="Arial Narrow" w:hAnsi="Arial Narrow"/>
              </w:rPr>
              <w:t xml:space="preserve">November 1, 2000 through September 30, 2002 </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CONTRACT PRICE (per MMBtu):</w:t>
            </w:r>
          </w:p>
        </w:tc>
        <w:tc>
          <w:tcPr>
            <w:tcW w:w="5947" w:type="dxa"/>
            <w:tcBorders/>
          </w:tcPr>
          <w:p>
            <w:pPr>
              <w:pStyle w:val="Normal"/>
              <w:jc w:val="both"/>
              <w:rPr/>
            </w:pPr>
            <w:r>
              <w:rPr>
                <w:rFonts w:cs="Arial Narrow" w:ascii="Arial Narrow" w:hAnsi="Arial Narrow"/>
              </w:rPr>
              <w:t xml:space="preserve">1.  The Contract Price per MMBtu for the first 200 MMBtu per day each Month during the Period of Delivery shall be the "Houston Ship Channel/Beaumont, Texas" price published in the first of the month issue of McGraw-Hill's </w:t>
            </w:r>
            <w:r>
              <w:rPr>
                <w:rFonts w:cs="Arial Narrow" w:ascii="Arial Narrow" w:hAnsi="Arial Narrow"/>
                <w:u w:val="single"/>
              </w:rPr>
              <w:t>Inside F.E.R.C.'s Gas Market Report</w:t>
            </w:r>
            <w:r>
              <w:rPr>
                <w:rFonts w:cs="Arial Narrow" w:ascii="Arial Narrow" w:hAnsi="Arial Narrow"/>
              </w:rPr>
              <w:t xml:space="preserve"> as reported as the "Index (large packages only)" price in the table "Delivered Spot-Gas Prices", plus $0.10 per MMBtu.</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tabs>
                <w:tab w:val="clear" w:pos="720"/>
                <w:tab w:val="left" w:pos="342" w:leader="none"/>
              </w:tabs>
              <w:jc w:val="both"/>
              <w:rPr/>
            </w:pPr>
            <w:r>
              <w:rPr>
                <w:rFonts w:cs="Arial Narrow" w:ascii="Arial Narrow" w:hAnsi="Arial Narrow"/>
              </w:rPr>
              <w:t xml:space="preserve">2.  The Contract Price per MMBtu for all volumes in excess of the first 200 MMBtu per day shall be the higher of the HSC </w:t>
            </w:r>
            <w:r>
              <w:rPr>
                <w:rFonts w:cs="Arial Narrow" w:ascii="Arial Narrow" w:hAnsi="Arial Narrow"/>
                <w:color w:val="000000"/>
              </w:rPr>
              <w:t>Gas Daily Price for the day of flow and the following day plus $0.05 per MMBtu.</w:t>
            </w:r>
            <w:r>
              <w:rPr>
                <w:rFonts w:cs="Arial Narrow" w:ascii="Arial Narrow" w:hAnsi="Arial Narrow"/>
              </w:rPr>
              <w:t xml:space="preserve">  The term “</w:t>
            </w:r>
            <w:r>
              <w:rPr>
                <w:rFonts w:cs="Arial Narrow" w:ascii="Arial Narrow" w:hAnsi="Arial Narrow"/>
                <w:u w:val="single"/>
              </w:rPr>
              <w:t>HSC Gas Daily Price</w:t>
            </w:r>
            <w:r>
              <w:rPr>
                <w:rFonts w:cs="Arial Narrow" w:ascii="Arial Narrow" w:hAnsi="Arial Narrow"/>
              </w:rPr>
              <w:t xml:space="preserve">” means the  “Daily Midpoint” price set forth in </w:t>
            </w:r>
            <w:r>
              <w:rPr>
                <w:rFonts w:cs="Arial Narrow" w:ascii="Arial Narrow" w:hAnsi="Arial Narrow"/>
                <w:u w:val="single"/>
              </w:rPr>
              <w:t>Gas Daily</w:t>
            </w:r>
            <w:r>
              <w:rPr>
                <w:rFonts w:cs="Arial Narrow" w:ascii="Arial Narrow" w:hAnsi="Arial Narrow"/>
              </w:rPr>
              <w:t xml:space="preserve">® (Financial Times Energy), or successor publication, in the column "Daily Price Survey" under the listing applicable to East-Houston-Katy - Houston Ship Channel for the relevant Gas Day.  </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SPOT PRICE (LOCATION):</w:t>
            </w:r>
          </w:p>
        </w:tc>
        <w:tc>
          <w:tcPr>
            <w:tcW w:w="5947" w:type="dxa"/>
            <w:tcBorders/>
          </w:tcPr>
          <w:p>
            <w:pPr>
              <w:pStyle w:val="Normal"/>
              <w:jc w:val="both"/>
              <w:rPr>
                <w:rFonts w:ascii="Arial Narrow" w:hAnsi="Arial Narrow" w:cs="Arial Narrow"/>
              </w:rPr>
            </w:pPr>
            <w:r>
              <w:rPr>
                <w:rFonts w:cs="Arial Narrow" w:ascii="Arial Narrow" w:hAnsi="Arial Narrow"/>
              </w:rPr>
              <w:t>East Houston Katy - Houston Ship Channel</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OTHER:</w:t>
            </w:r>
          </w:p>
        </w:tc>
        <w:tc>
          <w:tcPr>
            <w:tcW w:w="5947" w:type="dxa"/>
            <w:tcBorders/>
          </w:tcPr>
          <w:p>
            <w:pPr>
              <w:pStyle w:val="Normal"/>
              <w:jc w:val="both"/>
              <w:rPr>
                <w:rFonts w:ascii="Arial Narrow" w:hAnsi="Arial Narrow" w:cs="Arial Narrow"/>
              </w:rPr>
            </w:pPr>
            <w:r>
              <w:rPr>
                <w:rFonts w:cs="Arial Narrow" w:ascii="Arial Narrow" w:hAnsi="Arial Narrow"/>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tc>
      </w:tr>
    </w:tbl>
    <w:p>
      <w:pPr>
        <w:pStyle w:val="BodyText"/>
        <w:rPr/>
      </w:pPr>
      <w:r>
        <w:rPr/>
      </w:r>
    </w:p>
    <w:p>
      <w:pPr>
        <w:pStyle w:val="BodyText"/>
        <w:rPr/>
      </w:pPr>
      <w:r>
        <w:rPr/>
        <w:tab/>
        <w:t xml:space="preserve">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the Transaction Agreement.  </w:t>
      </w:r>
    </w:p>
    <w:p>
      <w:pPr>
        <w:pStyle w:val="Normal"/>
        <w:tabs>
          <w:tab w:val="clear" w:pos="720"/>
          <w:tab w:val="left" w:pos="4050" w:leader="none"/>
          <w:tab w:val="left" w:pos="5400" w:leader="none"/>
          <w:tab w:val="left" w:pos="9360" w:leader="none"/>
        </w:tabs>
        <w:rPr>
          <w:rFonts w:ascii="Arial Narrow" w:hAnsi="Arial Narrow" w:cs="Arial Narrow"/>
        </w:rPr>
      </w:pPr>
      <w:r>
        <w:rPr>
          <w:rFonts w:cs="Arial Narrow" w:ascii="Arial Narrow" w:hAnsi="Arial Narrow"/>
        </w:rPr>
      </w:r>
    </w:p>
    <w:tbl>
      <w:tblPr>
        <w:tblW w:w="9558" w:type="dxa"/>
        <w:jc w:val="start"/>
        <w:tblInd w:w="0" w:type="dxa"/>
        <w:tblLayout w:type="fixed"/>
        <w:tblCellMar>
          <w:top w:w="0" w:type="dxa"/>
          <w:start w:w="108" w:type="dxa"/>
          <w:bottom w:w="0" w:type="dxa"/>
          <w:end w:w="108" w:type="dxa"/>
        </w:tblCellMar>
      </w:tblPr>
      <w:tblGrid>
        <w:gridCol w:w="4428"/>
        <w:gridCol w:w="5130"/>
      </w:tblGrid>
      <w:tr>
        <w:trPr/>
        <w:tc>
          <w:tcPr>
            <w:tcW w:w="4428" w:type="dxa"/>
            <w:tcBorders/>
          </w:tcPr>
          <w:p>
            <w:pPr>
              <w:pStyle w:val="Normal"/>
              <w:tabs>
                <w:tab w:val="clear" w:pos="720"/>
                <w:tab w:val="left" w:pos="3960" w:leader="none"/>
              </w:tabs>
              <w:jc w:val="both"/>
              <w:rPr>
                <w:rFonts w:ascii="Arial Narrow" w:hAnsi="Arial Narrow" w:cs="Arial Narrow"/>
              </w:rPr>
            </w:pPr>
            <w:r>
              <w:rPr>
                <w:rFonts w:cs="Arial Narrow" w:ascii="Arial Narrow" w:hAnsi="Arial Narrow"/>
              </w:rPr>
              <w:t>MOBIL OIL CORPORATION</w:t>
            </w:r>
          </w:p>
        </w:tc>
        <w:tc>
          <w:tcPr>
            <w:tcW w:w="5130" w:type="dxa"/>
            <w:tcBorders/>
          </w:tcPr>
          <w:p>
            <w:pPr>
              <w:pStyle w:val="Normal"/>
              <w:tabs>
                <w:tab w:val="clear" w:pos="720"/>
                <w:tab w:val="left" w:pos="4572" w:leader="none"/>
              </w:tabs>
              <w:jc w:val="both"/>
              <w:rPr>
                <w:rFonts w:ascii="Arial Narrow" w:hAnsi="Arial Narrow" w:cs="Arial Narrow"/>
              </w:rPr>
            </w:pPr>
            <w:r>
              <w:rPr>
                <w:rFonts w:cs="Arial Narrow" w:ascii="Arial Narrow" w:hAnsi="Arial Narrow"/>
              </w:rPr>
              <w:t>HOUSTON PIPE LINE COMPANY</w:t>
            </w:r>
          </w:p>
        </w:tc>
      </w:tr>
      <w:tr>
        <w:trPr/>
        <w:tc>
          <w:tcPr>
            <w:tcW w:w="4428" w:type="dxa"/>
            <w:tcBorders/>
          </w:tcPr>
          <w:p>
            <w:pPr>
              <w:pStyle w:val="Normal"/>
              <w:tabs>
                <w:tab w:val="clear" w:pos="720"/>
                <w:tab w:val="left" w:pos="3960" w:leader="none"/>
              </w:tabs>
              <w:snapToGrid w:val="false"/>
              <w:jc w:val="both"/>
              <w:rPr>
                <w:rFonts w:ascii="Arial Narrow" w:hAnsi="Arial Narrow" w:cs="Arial Narrow"/>
              </w:rPr>
            </w:pPr>
            <w:r>
              <w:rPr>
                <w:rFonts w:cs="Arial Narrow" w:ascii="Arial Narrow" w:hAnsi="Arial Narrow"/>
              </w:rPr>
            </w:r>
          </w:p>
        </w:tc>
        <w:tc>
          <w:tcPr>
            <w:tcW w:w="5130" w:type="dxa"/>
            <w:tcBorders/>
          </w:tcPr>
          <w:p>
            <w:pPr>
              <w:pStyle w:val="Normal"/>
              <w:tabs>
                <w:tab w:val="clear" w:pos="720"/>
                <w:tab w:val="left" w:pos="4572" w:leader="none"/>
              </w:tabs>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3960" w:leader="none"/>
              </w:tabs>
              <w:snapToGrid w:val="false"/>
              <w:jc w:val="both"/>
              <w:rPr>
                <w:rFonts w:ascii="Arial Narrow" w:hAnsi="Arial Narrow" w:cs="Arial Narrow"/>
              </w:rPr>
            </w:pPr>
            <w:r>
              <w:rPr>
                <w:rFonts w:cs="Arial Narrow" w:ascii="Arial Narrow" w:hAnsi="Arial Narrow"/>
              </w:rPr>
            </w:r>
          </w:p>
        </w:tc>
        <w:tc>
          <w:tcPr>
            <w:tcW w:w="5130" w:type="dxa"/>
            <w:tcBorders/>
          </w:tcPr>
          <w:p>
            <w:pPr>
              <w:pStyle w:val="Normal"/>
              <w:tabs>
                <w:tab w:val="clear" w:pos="720"/>
                <w:tab w:val="left" w:pos="4572" w:leader="none"/>
              </w:tabs>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3960" w:leader="none"/>
              </w:tabs>
              <w:snapToGrid w:val="false"/>
              <w:jc w:val="both"/>
              <w:rPr>
                <w:rFonts w:ascii="Arial Narrow" w:hAnsi="Arial Narrow" w:cs="Arial Narrow"/>
              </w:rPr>
            </w:pPr>
            <w:r>
              <w:rPr>
                <w:rFonts w:cs="Arial Narrow" w:ascii="Arial Narrow" w:hAnsi="Arial Narrow"/>
              </w:rPr>
            </w:r>
          </w:p>
        </w:tc>
        <w:tc>
          <w:tcPr>
            <w:tcW w:w="5130" w:type="dxa"/>
            <w:tcBorders/>
          </w:tcPr>
          <w:p>
            <w:pPr>
              <w:pStyle w:val="Normal"/>
              <w:tabs>
                <w:tab w:val="clear" w:pos="720"/>
                <w:tab w:val="left" w:pos="4572" w:leader="none"/>
              </w:tabs>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3960" w:leader="none"/>
              </w:tabs>
              <w:jc w:val="both"/>
              <w:rPr>
                <w:rFonts w:ascii="Arial Narrow" w:hAnsi="Arial Narrow" w:cs="Arial Narrow"/>
              </w:rPr>
            </w:pPr>
            <w:r>
              <w:rPr>
                <w:rFonts w:cs="Arial Narrow" w:ascii="Arial Narrow" w:hAnsi="Arial Narrow"/>
              </w:rPr>
              <w:t xml:space="preserve">By: </w:t>
            </w:r>
            <w:r>
              <w:rPr>
                <w:rFonts w:cs="Arial Narrow" w:ascii="Arial Narrow" w:hAnsi="Arial Narrow"/>
                <w:u w:val="single"/>
              </w:rPr>
              <w:tab/>
            </w:r>
          </w:p>
        </w:tc>
        <w:tc>
          <w:tcPr>
            <w:tcW w:w="5130" w:type="dxa"/>
            <w:tcBorders/>
          </w:tcPr>
          <w:p>
            <w:pPr>
              <w:pStyle w:val="Normal"/>
              <w:tabs>
                <w:tab w:val="clear" w:pos="720"/>
                <w:tab w:val="left" w:pos="4572" w:leader="none"/>
              </w:tabs>
              <w:jc w:val="both"/>
              <w:rPr>
                <w:rFonts w:ascii="Arial Narrow" w:hAnsi="Arial Narrow" w:cs="Arial Narrow"/>
              </w:rPr>
            </w:pPr>
            <w:r>
              <w:rPr>
                <w:rFonts w:cs="Arial Narrow" w:ascii="Arial Narrow" w:hAnsi="Arial Narrow"/>
              </w:rPr>
              <w:t xml:space="preserve">By: </w:t>
            </w:r>
            <w:r>
              <w:rPr>
                <w:rFonts w:cs="Arial Narrow" w:ascii="Arial Narrow" w:hAnsi="Arial Narrow"/>
                <w:u w:val="single"/>
              </w:rPr>
              <w:tab/>
            </w:r>
          </w:p>
        </w:tc>
      </w:tr>
      <w:tr>
        <w:trPr/>
        <w:tc>
          <w:tcPr>
            <w:tcW w:w="4428" w:type="dxa"/>
            <w:tcBorders/>
          </w:tcPr>
          <w:p>
            <w:pPr>
              <w:pStyle w:val="Normal"/>
              <w:tabs>
                <w:tab w:val="clear" w:pos="720"/>
                <w:tab w:val="left" w:pos="3960" w:leader="none"/>
              </w:tabs>
              <w:jc w:val="both"/>
              <w:rPr>
                <w:rFonts w:ascii="Arial Narrow" w:hAnsi="Arial Narrow" w:cs="Arial Narrow"/>
              </w:rPr>
            </w:pPr>
            <w:r>
              <w:rPr>
                <w:rFonts w:cs="Arial Narrow" w:ascii="Arial Narrow" w:hAnsi="Arial Narrow"/>
              </w:rPr>
              <w:t xml:space="preserve">Title: </w:t>
            </w:r>
            <w:r>
              <w:rPr>
                <w:rFonts w:cs="Arial Narrow" w:ascii="Arial Narrow" w:hAnsi="Arial Narrow"/>
                <w:u w:val="single"/>
              </w:rPr>
              <w:tab/>
            </w:r>
          </w:p>
        </w:tc>
        <w:tc>
          <w:tcPr>
            <w:tcW w:w="5130" w:type="dxa"/>
            <w:tcBorders/>
          </w:tcPr>
          <w:p>
            <w:pPr>
              <w:pStyle w:val="Normal"/>
              <w:tabs>
                <w:tab w:val="clear" w:pos="720"/>
                <w:tab w:val="left" w:pos="4572" w:leader="none"/>
              </w:tabs>
              <w:jc w:val="both"/>
              <w:rPr>
                <w:rFonts w:ascii="Arial Narrow" w:hAnsi="Arial Narrow" w:cs="Arial Narrow"/>
              </w:rPr>
            </w:pPr>
            <w:r>
              <w:rPr>
                <w:rFonts w:cs="Arial Narrow" w:ascii="Arial Narrow" w:hAnsi="Arial Narrow"/>
              </w:rPr>
              <w:t xml:space="preserve">Title: </w:t>
            </w:r>
            <w:r>
              <w:rPr>
                <w:rFonts w:cs="Arial Narrow" w:ascii="Arial Narrow" w:hAnsi="Arial Narrow"/>
                <w:u w:val="single"/>
              </w:rPr>
              <w:tab/>
            </w:r>
          </w:p>
        </w:tc>
      </w:tr>
      <w:tr>
        <w:trPr/>
        <w:tc>
          <w:tcPr>
            <w:tcW w:w="4428" w:type="dxa"/>
            <w:tcBorders/>
          </w:tcPr>
          <w:p>
            <w:pPr>
              <w:pStyle w:val="Normal"/>
              <w:tabs>
                <w:tab w:val="clear" w:pos="720"/>
                <w:tab w:val="left" w:pos="3960" w:leader="none"/>
              </w:tabs>
              <w:jc w:val="both"/>
              <w:rPr>
                <w:rFonts w:ascii="Arial Narrow" w:hAnsi="Arial Narrow" w:cs="Arial Narrow"/>
              </w:rPr>
            </w:pPr>
            <w:r>
              <w:rPr>
                <w:rFonts w:cs="Arial Narrow" w:ascii="Arial Narrow" w:hAnsi="Arial Narrow"/>
              </w:rPr>
              <w:t xml:space="preserve">Date: </w:t>
            </w:r>
            <w:r>
              <w:rPr>
                <w:rFonts w:cs="Arial Narrow" w:ascii="Arial Narrow" w:hAnsi="Arial Narrow"/>
                <w:u w:val="single"/>
              </w:rPr>
              <w:tab/>
            </w:r>
          </w:p>
        </w:tc>
        <w:tc>
          <w:tcPr>
            <w:tcW w:w="5130" w:type="dxa"/>
            <w:tcBorders/>
          </w:tcPr>
          <w:p>
            <w:pPr>
              <w:pStyle w:val="Normal"/>
              <w:tabs>
                <w:tab w:val="clear" w:pos="720"/>
                <w:tab w:val="left" w:pos="4572" w:leader="none"/>
              </w:tabs>
              <w:jc w:val="both"/>
              <w:rPr>
                <w:rFonts w:ascii="Arial Narrow" w:hAnsi="Arial Narrow" w:cs="Arial Narrow"/>
              </w:rPr>
            </w:pPr>
            <w:r>
              <w:rPr>
                <w:rFonts w:cs="Arial Narrow" w:ascii="Arial Narrow" w:hAnsi="Arial Narrow"/>
              </w:rPr>
              <w:t xml:space="preserve">Date: </w:t>
            </w:r>
            <w:r>
              <w:rPr>
                <w:rFonts w:cs="Arial Narrow" w:ascii="Arial Narrow" w:hAnsi="Arial Narrow"/>
                <w:u w:val="single"/>
              </w:rPr>
              <w:tab/>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2"/>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7</w:t>
    </w:r>
    <w:r>
      <w:rPr>
        <w:rStyle w:val="PageNumber"/>
        <w:sz w:val="20"/>
        <w:rFonts w:cs="Arial Narrow" w:ascii="Arial Narrow" w:hAnsi="Arial Narrow"/>
      </w:rPr>
      <w:fldChar w:fldCharType="end"/>
    </w:r>
  </w:p>
  <w:p>
    <w:pPr>
      <w:pStyle w:val="Footer"/>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/mnt/main-storage/datasets/enron-docs/doc/2000_69crfm.doc</w:t>
    </w:r>
    <w:r>
      <w:rPr>
        <w:sz w:val="12"/>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2"/>
      </w:rPr>
    </w:pPr>
    <w:r>
      <w:rPr>
        <w:rFonts w:cs="Arial Narrow" w:ascii="Arial Narrow" w:hAnsi="Arial Narrow"/>
        <w:sz w:val="12"/>
      </w:rPr>
    </w:r>
  </w:p>
  <w:p>
    <w:pPr>
      <w:pStyle w:val="Footer"/>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/mnt/main-storage/datasets/enron-docs/doc/2000_69crfm.doc</w:t>
    </w:r>
    <w:r>
      <w:rPr>
        <w:sz w:val="12"/>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rPr>
    </w:pPr>
    <w:r>
      <w:rPr>
        <w:rFonts w:cs="Arial Narrow" w:ascii="Arial Narrow" w:hAnsi="Arial Narrow"/>
      </w:rPr>
      <w:t>Mobil Oil Corporation</w:t>
    </w:r>
  </w:p>
  <w:p>
    <w:pPr>
      <w:pStyle w:val="Normal"/>
      <w:rPr>
        <w:rFonts w:ascii="Arial Narrow" w:hAnsi="Arial Narrow" w:cs="Arial Narrow"/>
      </w:rPr>
    </w:pPr>
    <w:r>
      <w:rPr>
        <w:rFonts w:cs="Arial Narrow" w:ascii="Arial Narrow" w:hAnsi="Arial Narrow"/>
      </w:rPr>
      <w:t>November 13, 2000</w:t>
    </w:r>
  </w:p>
  <w:p>
    <w:pPr>
      <w:pStyle w:val="Normal"/>
      <w:rPr>
        <w:rStyle w:val="PageNumber"/>
        <w:rFonts w:ascii="Arial Narrow" w:hAnsi="Arial Narrow" w:cs="Arial Narrow"/>
        <w:szCs w:val="20"/>
      </w:rPr>
    </w:pPr>
    <w:r>
      <w:rPr>
        <w:rFonts w:cs="Arial Narrow" w:ascii="Arial Narrow" w:hAnsi="Arial Narrow"/>
      </w:rPr>
      <w:t xml:space="preserve">Page </w:t>
    </w:r>
    <w:r>
      <w:rPr>
        <w:rStyle w:val="PageNumber"/>
        <w:rFonts w:cs="Arial Narrow" w:ascii="Arial Narrow" w:hAnsi="Arial Narrow"/>
        <w:szCs w:val="20"/>
      </w:rPr>
      <w:fldChar w:fldCharType="begin"/>
    </w:r>
    <w:r>
      <w:rPr>
        <w:rStyle w:val="PageNumber"/>
        <w:szCs w:val="20"/>
        <w:rFonts w:cs="Arial Narrow" w:ascii="Arial Narrow" w:hAnsi="Arial Narrow"/>
      </w:rPr>
      <w:instrText xml:space="preserve"> PAGE </w:instrText>
    </w:r>
    <w:r>
      <w:rPr>
        <w:rStyle w:val="PageNumber"/>
        <w:szCs w:val="20"/>
        <w:rFonts w:cs="Arial Narrow" w:ascii="Arial Narrow" w:hAnsi="Arial Narrow"/>
      </w:rPr>
      <w:fldChar w:fldCharType="separate"/>
    </w:r>
    <w:r>
      <w:rPr>
        <w:rStyle w:val="PageNumber"/>
        <w:szCs w:val="20"/>
        <w:rFonts w:cs="Arial Narrow" w:ascii="Arial Narrow" w:hAnsi="Arial Narrow"/>
      </w:rPr>
      <w:t>7</w:t>
    </w:r>
    <w:r>
      <w:rPr>
        <w:rStyle w:val="PageNumber"/>
        <w:szCs w:val="20"/>
        <w:rFonts w:cs="Arial Narrow" w:ascii="Arial Narrow" w:hAnsi="Arial Narrow"/>
      </w:rPr>
      <w:fldChar w:fldCharType="end"/>
    </w:r>
  </w:p>
  <w:p>
    <w:pPr>
      <w:pStyle w:val="Normal"/>
      <w:rPr>
        <w:rStyle w:val="PageNumber"/>
        <w:rFonts w:ascii="Arial Narrow" w:hAnsi="Arial Narrow" w:cs="Arial Narrow"/>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color w:val="000000"/>
      </w:rPr>
    </w:lvl>
  </w:abstractNum>
  <w:abstractNum w:abstractNumId="3">
    <w:lvl w:ilvl="0">
      <w:start w:val="2"/>
      <w:numFmt w:val="decimal"/>
      <w:lvlText w:val="%1."/>
      <w:lvlJc w:val="start"/>
      <w:pPr>
        <w:tabs>
          <w:tab w:val="num" w:pos="180"/>
        </w:tabs>
        <w:ind w:start="1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690" w:leader="none"/>
        <w:tab w:val="left" w:pos="1440" w:leader="none"/>
        <w:tab w:val="left" w:pos="2160" w:leader="none"/>
        <w:tab w:val="left" w:pos="5280" w:leader="none"/>
        <w:tab w:val="left" w:pos="5472" w:leader="none"/>
        <w:tab w:val="left" w:pos="6480" w:leader="none"/>
      </w:tabs>
      <w:ind w:hanging="0" w:start="0" w:end="-900"/>
      <w:jc w:val="center"/>
      <w:outlineLvl w:val="0"/>
    </w:pPr>
    <w:rPr>
      <w:rFonts w:ascii="Arial Narrow" w:hAnsi="Arial Narrow" w:cs="Arial Narrow"/>
      <w:b/>
      <w:bCs/>
    </w:rPr>
  </w:style>
  <w:style w:type="character" w:styleId="WW8Num1z0">
    <w:name w:val="WW8Num1z0"/>
    <w:qFormat/>
    <w:rPr>
      <w:rFonts w:ascii="Arial Narrow" w:hAnsi="Arial Narrow" w:cs="Arial Narrow"/>
      <w:b w:val="false"/>
      <w:i w:val="false"/>
      <w:sz w:val="24"/>
      <w:u w:val="none"/>
    </w:rPr>
  </w:style>
  <w:style w:type="character" w:styleId="WW8Num2z0">
    <w:name w:val="WW8Num2z0"/>
    <w:qFormat/>
    <w:rPr>
      <w:color w:val="000000"/>
    </w:rPr>
  </w:style>
  <w:style w:type="character" w:styleId="WW8Num3z0">
    <w:name w:val="WW8Num3z0"/>
    <w:qFormat/>
    <w:rPr/>
  </w:style>
  <w:style w:type="character" w:styleId="WW8NumSt2z0">
    <w:name w:val="WW8NumSt2z0"/>
    <w:qFormat/>
    <w:rPr>
      <w:rFonts w:ascii="Arial Narrow" w:hAnsi="Arial Narrow" w:cs="Arial Narrow"/>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900"/>
      <w:jc w:val="both"/>
    </w:pPr>
    <w:rPr>
      <w:rFonts w:ascii="Arial Narrow" w:hAnsi="Arial Narrow" w:cs="Arial Narro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firstLine="720" w:start="0" w:end="0"/>
      <w:jc w:val="both"/>
    </w:pPr>
    <w:rPr>
      <w:rFonts w:ascii="Arial Narrow" w:hAnsi="Arial Narrow" w:cs="Arial Narr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Courier" w:hAnsi="Courier" w:cs="Courier"/>
      <w:sz w:val="26"/>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Courier" w:hAnsi="Courier" w:cs="Courier"/>
      <w:sz w:val="26"/>
      <w:szCs w:val="20"/>
    </w:rPr>
  </w:style>
  <w:style w:type="paragraph" w:styleId="BodyText2">
    <w:name w:val="Body Text 2"/>
    <w:basedOn w:val="Normal"/>
    <w:qFormat/>
    <w:pPr>
      <w:tabs>
        <w:tab w:val="clear" w:pos="720"/>
        <w:tab w:val="left" w:pos="792" w:leader="none"/>
      </w:tabs>
      <w:jc w:val="both"/>
    </w:pPr>
    <w:rPr>
      <w:rFonts w:ascii="Arial Narrow" w:hAnsi="Arial Narrow" w:cs="Arial Narro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2000-09-15T13:26:00Z</dcterms:created>
  <dc:creator>dhyvl</dc:creator>
  <dc:description/>
  <dc:language>en-CA</dc:language>
  <cp:lastModifiedBy>dhyvl</cp:lastModifiedBy>
  <cp:lastPrinted>2000-11-10T13:35:00Z</cp:lastPrinted>
  <dcterms:modified xsi:type="dcterms:W3CDTF">2000-11-10T17:05:00Z</dcterms:modified>
  <cp:revision>28</cp:revision>
  <dc:subject/>
  <dc:title>September 16, 1997</dc:title>
</cp:coreProperties>
</file>