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sz w:val="22"/>
        </w:rPr>
      </w:pPr>
      <w:r>
        <w:rPr>
          <w:rFonts w:cs="Arial Narrow" w:ascii="Arial Narrow" w:hAnsi="Arial Narrow"/>
          <w:b/>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sz w:val="22"/>
        </w:rPr>
      </w:pPr>
      <w:r>
        <w:rPr>
          <w:rFonts w:cs="Arial Narrow" w:ascii="Arial Narrow" w:hAnsi="Arial Narrow"/>
          <w:sz w:val="22"/>
        </w:rPr>
        <w:t>December 1, 2000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t>Mobil Oil Corporation</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t>Beaumont Refinery</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t>P.O. Box 3311</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t>Beaumont, Texas  77704</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sz w:val="22"/>
        </w:rPr>
      </w:pPr>
      <w:r>
        <w:rPr>
          <w:rFonts w:cs="Arial Narrow" w:ascii="Arial Narrow" w:hAnsi="Arial Narrow"/>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end="-900"/>
        <w:jc w:val="both"/>
        <w:rPr/>
      </w:pPr>
      <w:r>
        <w:rPr>
          <w:rFonts w:cs="Arial Narrow" w:ascii="Arial Narrow" w:hAnsi="Arial Narrow"/>
          <w:sz w:val="22"/>
        </w:rPr>
        <w:tab/>
        <w:t>This firm Transaction Agreement shall form and effectuate the proposed agreement between Mobil Oil Corporation ("</w:t>
      </w:r>
      <w:r>
        <w:rPr>
          <w:rFonts w:cs="Arial Narrow" w:ascii="Arial Narrow" w:hAnsi="Arial Narrow"/>
          <w:sz w:val="22"/>
          <w:u w:val="single"/>
        </w:rPr>
        <w:t>Customer</w:t>
      </w:r>
      <w:r>
        <w:rPr>
          <w:rFonts w:cs="Arial Narrow" w:ascii="Arial Narrow" w:hAnsi="Arial Narrow"/>
          <w:sz w:val="22"/>
        </w:rPr>
        <w:t>") and Houston Pipe Line Company ("</w:t>
      </w:r>
      <w:r>
        <w:rPr>
          <w:rFonts w:cs="Arial Narrow" w:ascii="Arial Narrow" w:hAnsi="Arial Narrow"/>
          <w:sz w:val="22"/>
          <w:u w:val="single"/>
        </w:rPr>
        <w:t>Company</w:t>
      </w:r>
      <w:r>
        <w:rPr>
          <w:rFonts w:cs="Arial Narrow" w:ascii="Arial Narrow" w:hAnsi="Arial Narrow"/>
          <w:sz w:val="22"/>
        </w:rPr>
        <w:t>") regarding the firm sale/purchase of Gas under the following terms and conditions. This Transaction Agreement is being provided pursuant to and in accordance with the Enfolio Master Firm Purchase/Sale Agreement dated ________________, 2000 between Customer and Company (the “Agreement”) and constitutes part of and is subject to all of the terms and provisions of such Agreement.  Capitalized terms herein used, but not defined, shall have the meanings set forth in the Agreement.  Customer to purchase and receive (“</w:t>
      </w:r>
      <w:r>
        <w:rPr>
          <w:rFonts w:cs="Arial Narrow" w:ascii="Arial Narrow" w:hAnsi="Arial Narrow"/>
          <w:sz w:val="22"/>
          <w:u w:val="single"/>
        </w:rPr>
        <w:t>Buyer</w:t>
      </w:r>
      <w:r>
        <w:rPr>
          <w:rFonts w:cs="Arial Narrow" w:ascii="Arial Narrow" w:hAnsi="Arial Narrow"/>
          <w:sz w:val="22"/>
        </w:rPr>
        <w:t>”); Company to sell and deliver (“</w:t>
      </w:r>
      <w:r>
        <w:rPr>
          <w:rFonts w:cs="Arial Narrow" w:ascii="Arial Narrow" w:hAnsi="Arial Narrow"/>
          <w:sz w:val="22"/>
          <w:u w:val="single"/>
        </w:rPr>
        <w:t>Seller</w:t>
      </w:r>
      <w:r>
        <w:rPr>
          <w:rFonts w:cs="Arial Narrow" w:ascii="Arial Narrow" w:hAnsi="Arial Narrow"/>
          <w:sz w:val="22"/>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end="-900"/>
        <w:jc w:val="both"/>
        <w:rPr>
          <w:rFonts w:ascii="Arial Narrow" w:hAnsi="Arial Narrow" w:cs="Arial Narrow"/>
          <w:sz w:val="22"/>
        </w:rPr>
      </w:pPr>
      <w:r>
        <w:rPr>
          <w:rFonts w:cs="Arial Narrow" w:ascii="Arial Narrow" w:hAnsi="Arial Narrow"/>
          <w:sz w:val="22"/>
        </w:rPr>
      </w:r>
    </w:p>
    <w:p>
      <w:pPr>
        <w:pStyle w:val="Heading1"/>
        <w:rPr>
          <w:sz w:val="22"/>
        </w:rPr>
      </w:pPr>
      <w:r>
        <w:rPr>
          <w:sz w:val="22"/>
        </w:rPr>
        <w:t>Part I</w:t>
      </w:r>
    </w:p>
    <w:p>
      <w:pPr>
        <w:pStyle w:val="Normal"/>
        <w:tabs>
          <w:tab w:val="clear" w:pos="720"/>
          <w:tab w:val="left" w:pos="690" w:leader="none"/>
          <w:tab w:val="left" w:pos="1440" w:leader="none"/>
          <w:tab w:val="left" w:pos="2160" w:leader="none"/>
          <w:tab w:val="left" w:pos="5280" w:leader="none"/>
          <w:tab w:val="left" w:pos="9180" w:leader="none"/>
        </w:tabs>
        <w:jc w:val="both"/>
        <w:rPr>
          <w:rFonts w:ascii="Arial Narrow" w:hAnsi="Arial Narrow" w:cs="Arial Narrow"/>
          <w:sz w:val="22"/>
        </w:rPr>
      </w:pPr>
      <w:r>
        <w:rPr>
          <w:rFonts w:cs="Arial Narrow" w:ascii="Arial Narrow" w:hAnsi="Arial Narrow"/>
          <w:sz w:val="22"/>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sz w:val="22"/>
              </w:rPr>
              <w:t>DAILY CONTRACT QUANTITY ("</w:t>
            </w:r>
            <w:r>
              <w:rPr>
                <w:rFonts w:cs="Arial Narrow" w:ascii="Arial Narrow" w:hAnsi="Arial Narrow"/>
                <w:sz w:val="22"/>
                <w:u w:val="single"/>
              </w:rPr>
              <w:t>DCQ</w:t>
            </w:r>
            <w:r>
              <w:rPr>
                <w:rFonts w:cs="Arial Narrow" w:ascii="Arial Narrow" w:hAnsi="Arial Narrow"/>
                <w:sz w:val="22"/>
              </w:rPr>
              <w:t>"):</w:t>
            </w:r>
          </w:p>
        </w:tc>
        <w:tc>
          <w:tcPr>
            <w:tcW w:w="5947" w:type="dxa"/>
            <w:tcBorders/>
          </w:tcPr>
          <w:p>
            <w:pPr>
              <w:pStyle w:val="Normal"/>
              <w:jc w:val="both"/>
              <w:rPr>
                <w:rFonts w:ascii="Arial Narrow" w:hAnsi="Arial Narrow" w:cs="Arial Narrow"/>
                <w:sz w:val="22"/>
              </w:rPr>
            </w:pPr>
            <w:r>
              <w:rPr>
                <w:rFonts w:cs="Arial Narrow" w:ascii="Arial Narrow" w:hAnsi="Arial Narrow"/>
                <w:sz w:val="22"/>
              </w:rPr>
              <w:t>1.  A volume of between 60,000 and 80,000 MMBtu/day to be nominated by Buyer not less than five (5) days prior to the start of each month during the period from January 1, 2001 through March 31, 2001.</w:t>
            </w:r>
          </w:p>
          <w:p>
            <w:pPr>
              <w:pStyle w:val="Normal"/>
              <w:jc w:val="both"/>
              <w:rPr>
                <w:rFonts w:ascii="Arial Narrow" w:hAnsi="Arial Narrow" w:cs="Arial Narrow"/>
                <w:sz w:val="22"/>
              </w:rPr>
            </w:pPr>
            <w:r>
              <w:rPr>
                <w:rFonts w:cs="Arial Narrow" w:ascii="Arial Narrow" w:hAnsi="Arial Narrow"/>
                <w:sz w:val="22"/>
              </w:rPr>
              <w:t>2.  A volume of between 80,000 and 100,000 MMBtu/day to be nominated by Buyer not less than five (5) days prior to the start of each month during the period from April 1, 2001 through September 30, 2002.</w:t>
            </w:r>
          </w:p>
        </w:tc>
      </w:tr>
      <w:tr>
        <w:trPr/>
        <w:tc>
          <w:tcPr>
            <w:tcW w:w="4428" w:type="dxa"/>
            <w:tcBorders/>
          </w:tcPr>
          <w:p>
            <w:pPr>
              <w:pStyle w:val="Normal"/>
              <w:snapToGrid w:val="false"/>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pPr>
            <w:r>
              <w:rPr>
                <w:rFonts w:cs="Arial Narrow" w:ascii="Arial Narrow" w:hAnsi="Arial Narrow"/>
                <w:sz w:val="22"/>
              </w:rPr>
              <w:t>MAXIMUM DAILY QUANTITY (“</w:t>
            </w:r>
            <w:r>
              <w:rPr>
                <w:rFonts w:cs="Arial Narrow" w:ascii="Arial Narrow" w:hAnsi="Arial Narrow"/>
                <w:sz w:val="22"/>
                <w:u w:val="single"/>
              </w:rPr>
              <w:t>MaxDQ</w:t>
            </w:r>
            <w:r>
              <w:rPr>
                <w:rFonts w:cs="Arial Narrow" w:ascii="Arial Narrow" w:hAnsi="Arial Narrow"/>
                <w:sz w:val="22"/>
              </w:rPr>
              <w:t>”):</w:t>
            </w:r>
          </w:p>
        </w:tc>
        <w:tc>
          <w:tcPr>
            <w:tcW w:w="5947" w:type="dxa"/>
            <w:tcBorders/>
          </w:tcPr>
          <w:p>
            <w:pPr>
              <w:pStyle w:val="Normal"/>
              <w:jc w:val="both"/>
              <w:rPr>
                <w:rFonts w:ascii="Arial Narrow" w:hAnsi="Arial Narrow" w:cs="Arial Narrow"/>
                <w:sz w:val="22"/>
              </w:rPr>
            </w:pPr>
            <w:r>
              <w:rPr>
                <w:rFonts w:cs="Arial Narrow" w:ascii="Arial Narrow" w:hAnsi="Arial Narrow"/>
                <w:sz w:val="22"/>
              </w:rPr>
              <w:t>30,000 MMBtu/day above the DCQ applicable for the month.</w:t>
            </w:r>
          </w:p>
        </w:tc>
      </w:tr>
      <w:tr>
        <w:trPr/>
        <w:tc>
          <w:tcPr>
            <w:tcW w:w="4428" w:type="dxa"/>
            <w:tcBorders/>
          </w:tcPr>
          <w:p>
            <w:pPr>
              <w:pStyle w:val="Normal"/>
              <w:snapToGrid w:val="false"/>
              <w:jc w:val="both"/>
              <w:rPr>
                <w:rFonts w:ascii="Arial Narrow" w:hAnsi="Arial Narrow" w:cs="Arial Narrow"/>
                <w:sz w:val="22"/>
                <w:u w:val="single"/>
              </w:rPr>
            </w:pPr>
            <w:r>
              <w:rPr>
                <w:rFonts w:cs="Arial Narrow" w:ascii="Arial Narrow" w:hAnsi="Arial Narrow"/>
                <w:sz w:val="22"/>
                <w:u w:val="single"/>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EXCESS GAS:</w:t>
            </w:r>
          </w:p>
        </w:tc>
        <w:tc>
          <w:tcPr>
            <w:tcW w:w="5947" w:type="dxa"/>
            <w:tcBorders/>
          </w:tcPr>
          <w:p>
            <w:pPr>
              <w:pStyle w:val="Normal"/>
              <w:jc w:val="both"/>
              <w:rPr>
                <w:rFonts w:ascii="Arial Narrow" w:hAnsi="Arial Narrow" w:cs="Arial Narrow"/>
                <w:sz w:val="22"/>
              </w:rPr>
            </w:pPr>
            <w:r>
              <w:rPr>
                <w:rFonts w:cs="Arial Narrow" w:ascii="Arial Narrow" w:hAnsi="Arial Narrow"/>
                <w:sz w:val="22"/>
              </w:rPr>
              <w:t>Seller may make available and Buyer may purchase volumes in excess of the MaxDQ; provided, however, such excess volumes shall be sold and delivered by Seller and purchased and received by Buyer on an interruptible basis.  Seller agrees to provide Buyer with one day’s notice prior to interrupting such excess gas hereunder.</w:t>
            </w:r>
          </w:p>
          <w:p>
            <w:pPr>
              <w:pStyle w:val="Normal"/>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ADDITIONAL VOLUMES:</w:t>
            </w:r>
          </w:p>
        </w:tc>
        <w:tc>
          <w:tcPr>
            <w:tcW w:w="5947" w:type="dxa"/>
            <w:tcBorders/>
          </w:tcPr>
          <w:p>
            <w:pPr>
              <w:pStyle w:val="Normal"/>
              <w:jc w:val="both"/>
              <w:rPr>
                <w:rFonts w:ascii="Arial Narrow" w:hAnsi="Arial Narrow" w:cs="Arial Narrow"/>
                <w:sz w:val="22"/>
              </w:rPr>
            </w:pPr>
            <w:r>
              <w:rPr>
                <w:rFonts w:cs="Arial Narrow" w:ascii="Arial Narrow" w:hAnsi="Arial Narrow"/>
                <w:sz w:val="22"/>
              </w:rPr>
              <w:t>Buyer and Seller may agree during the middle of a month upon additional gas volumes to be sold and delivered to Buyer from time to time for the remainder of the month and the price thereof.</w:t>
            </w:r>
          </w:p>
        </w:tc>
      </w:tr>
      <w:tr>
        <w:trPr/>
        <w:tc>
          <w:tcPr>
            <w:tcW w:w="4428" w:type="dxa"/>
            <w:tcBorders/>
          </w:tcPr>
          <w:p>
            <w:pPr>
              <w:pStyle w:val="Normal"/>
              <w:snapToGrid w:val="false"/>
              <w:jc w:val="both"/>
              <w:rPr>
                <w:rFonts w:ascii="Arial Narrow" w:hAnsi="Arial Narrow" w:cs="Arial Narrow"/>
                <w:sz w:val="22"/>
                <w:u w:val="single"/>
              </w:rPr>
            </w:pPr>
            <w:r>
              <w:rPr>
                <w:rFonts w:cs="Arial Narrow" w:ascii="Arial Narrow" w:hAnsi="Arial Narrow"/>
                <w:sz w:val="22"/>
                <w:u w:val="single"/>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t>DELIVERY POINT – Primary</w:t>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eastAsia="Arial Narrow" w:cs="Arial Narrow" w:ascii="Arial Narrow" w:hAnsi="Arial Narrow"/>
                <w:sz w:val="22"/>
              </w:rPr>
              <w:t xml:space="preserve">                              </w:t>
            </w:r>
            <w:r>
              <w:rPr>
                <w:rFonts w:cs="Arial Narrow" w:ascii="Arial Narrow" w:hAnsi="Arial Narrow"/>
                <w:sz w:val="22"/>
              </w:rPr>
              <w:t>Secondary</w:t>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t>GAS SPECIFICATIONS:</w:t>
            </w:r>
          </w:p>
        </w:tc>
        <w:tc>
          <w:tcPr>
            <w:tcW w:w="5947" w:type="dxa"/>
            <w:tcBorders/>
          </w:tcPr>
          <w:p>
            <w:pPr>
              <w:pStyle w:val="Normal"/>
              <w:jc w:val="both"/>
              <w:rPr>
                <w:rFonts w:ascii="Arial Narrow" w:hAnsi="Arial Narrow" w:cs="Arial Narrow"/>
                <w:sz w:val="22"/>
              </w:rPr>
            </w:pPr>
            <w:r>
              <w:rPr>
                <w:rFonts w:cs="Arial Narrow" w:ascii="Arial Narrow" w:hAnsi="Arial Narrow"/>
                <w:sz w:val="22"/>
              </w:rPr>
              <w:t>Houston Pipe Line Company Meter 1040 located in Jefferson County, Texas. (Low pressure delivery to Buyer’s facility.)</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Houston Pipe Line Company Meter 1576 located in Jefferson County, Texas. (High pressure delivery to Buyer’s facility.)</w:t>
            </w:r>
          </w:p>
          <w:p>
            <w:pPr>
              <w:pStyle w:val="BodyText2"/>
              <w:tabs>
                <w:tab w:val="clear" w:pos="792"/>
              </w:tabs>
              <w:rPr>
                <w:sz w:val="22"/>
              </w:rPr>
            </w:pPr>
            <w:r>
              <w:rPr>
                <w:sz w:val="22"/>
              </w:rPr>
              <w:t>The meter stations of other pipelines serving the low pressure system of Buyer’s facilities.  Such Secondary Delivery Points to be utilized only if both parties agree.</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The Gas delivered at Houston Pipe Line Company Meter 1040 or Meter 1576 shall meet Company’s Gas specifications as set forth below in item 4 of OTHER.</w:t>
            </w:r>
          </w:p>
        </w:tc>
      </w:tr>
      <w:tr>
        <w:trPr/>
        <w:tc>
          <w:tcPr>
            <w:tcW w:w="4428" w:type="dxa"/>
            <w:tcBorders/>
          </w:tcPr>
          <w:p>
            <w:pPr>
              <w:pStyle w:val="Normal"/>
              <w:snapToGrid w:val="false"/>
              <w:jc w:val="both"/>
              <w:rPr>
                <w:rFonts w:ascii="Arial Narrow" w:hAnsi="Arial Narrow" w:cs="Arial Narrow"/>
                <w:sz w:val="22"/>
                <w:u w:val="single"/>
              </w:rPr>
            </w:pPr>
            <w:r>
              <w:rPr>
                <w:rFonts w:cs="Arial Narrow" w:ascii="Arial Narrow" w:hAnsi="Arial Narrow"/>
                <w:sz w:val="22"/>
                <w:u w:val="single"/>
              </w:rPr>
            </w:r>
          </w:p>
        </w:tc>
        <w:tc>
          <w:tcPr>
            <w:tcW w:w="5947" w:type="dxa"/>
            <w:tcBorders/>
          </w:tcPr>
          <w:p>
            <w:pPr>
              <w:pStyle w:val="Normal"/>
              <w:jc w:val="both"/>
              <w:rPr>
                <w:rFonts w:ascii="Arial Narrow" w:hAnsi="Arial Narrow" w:cs="Arial Narrow"/>
                <w:sz w:val="22"/>
              </w:rPr>
            </w:pPr>
            <w:r>
              <w:rPr>
                <w:rFonts w:cs="Arial Narrow" w:ascii="Arial Narrow" w:hAnsi="Arial Narrow"/>
                <w:sz w:val="22"/>
              </w:rPr>
              <w:t>The Gas delivered at meter stations of other pipelines shall meet the quality specifications of such other pipelines.</w:t>
            </w:r>
          </w:p>
          <w:p>
            <w:pPr>
              <w:pStyle w:val="Normal"/>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PERIOD OF DELIVERY:</w:t>
            </w:r>
          </w:p>
        </w:tc>
        <w:tc>
          <w:tcPr>
            <w:tcW w:w="5947" w:type="dxa"/>
            <w:tcBorders/>
          </w:tcPr>
          <w:p>
            <w:pPr>
              <w:pStyle w:val="Normal"/>
              <w:jc w:val="both"/>
              <w:rPr>
                <w:rFonts w:ascii="Arial Narrow" w:hAnsi="Arial Narrow" w:cs="Arial Narrow"/>
                <w:sz w:val="22"/>
              </w:rPr>
            </w:pPr>
            <w:r>
              <w:rPr>
                <w:rFonts w:cs="Arial Narrow" w:ascii="Arial Narrow" w:hAnsi="Arial Narrow"/>
                <w:sz w:val="22"/>
              </w:rPr>
              <w:t xml:space="preserve">January 1, 2001 through September 30, 2002 </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CONTRACT PRICE (per MMBtu):</w:t>
            </w:r>
          </w:p>
        </w:tc>
        <w:tc>
          <w:tcPr>
            <w:tcW w:w="5947" w:type="dxa"/>
            <w:tcBorders/>
          </w:tcPr>
          <w:p>
            <w:pPr>
              <w:pStyle w:val="Normal"/>
              <w:jc w:val="both"/>
              <w:rPr>
                <w:rFonts w:ascii="Arial Narrow" w:hAnsi="Arial Narrow" w:cs="Arial Narrow"/>
                <w:sz w:val="22"/>
              </w:rPr>
            </w:pPr>
            <w:r>
              <w:rPr>
                <w:rFonts w:cs="Arial Narrow" w:ascii="Arial Narrow" w:hAnsi="Arial Narrow"/>
                <w:sz w:val="22"/>
              </w:rPr>
              <w:t>The Contract Price per MMBtu each Month during the Period of Delivery shall be as follows:</w:t>
            </w:r>
          </w:p>
          <w:p>
            <w:pPr>
              <w:pStyle w:val="Normal"/>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 xml:space="preserve">1. For the DCQ the Contract Price per MMBtu shall be the "Houston Ship Channel/Beaumont, Texas" price published in the first of the month issue of McGraw-Hill's </w:t>
            </w:r>
            <w:r>
              <w:rPr>
                <w:rFonts w:cs="Arial Narrow" w:ascii="Arial Narrow" w:hAnsi="Arial Narrow"/>
                <w:sz w:val="22"/>
                <w:u w:val="single"/>
              </w:rPr>
              <w:t>Inside F.E.R.C.'s Gas Market Report</w:t>
            </w:r>
            <w:r>
              <w:rPr>
                <w:rFonts w:cs="Arial Narrow" w:ascii="Arial Narrow" w:hAnsi="Arial Narrow"/>
                <w:sz w:val="22"/>
              </w:rPr>
              <w:t xml:space="preserve"> as reported as the "Index (large packages only)" price in the table "Delivered Spot-Gas Prices".</w:t>
            </w:r>
          </w:p>
          <w:p>
            <w:pPr>
              <w:pStyle w:val="Normal"/>
              <w:jc w:val="both"/>
              <w:rPr>
                <w:rFonts w:ascii="Arial Narrow" w:hAnsi="Arial Narrow" w:eastAsia="Arial Narrow" w:cs="Arial Narrow"/>
                <w:sz w:val="22"/>
              </w:rPr>
            </w:pPr>
            <w:r>
              <w:rPr>
                <w:rFonts w:eastAsia="Arial Narrow" w:cs="Arial Narrow" w:ascii="Arial Narrow" w:hAnsi="Arial Narrow"/>
                <w:sz w:val="22"/>
              </w:rPr>
              <w:t xml:space="preserve"> </w:t>
            </w:r>
          </w:p>
          <w:p>
            <w:pPr>
              <w:pStyle w:val="Normal"/>
              <w:jc w:val="both"/>
              <w:rPr>
                <w:rFonts w:ascii="Arial Narrow" w:hAnsi="Arial Narrow" w:cs="Arial Narrow"/>
                <w:sz w:val="22"/>
              </w:rPr>
            </w:pPr>
            <w:r>
              <w:rPr>
                <w:rFonts w:cs="Arial Narrow" w:ascii="Arial Narrow" w:hAnsi="Arial Narrow"/>
                <w:sz w:val="22"/>
              </w:rPr>
              <w:t>2.  For volumes in excess of the DCQ the Contract Price per MMBtu shall be as follows:</w:t>
            </w:r>
          </w:p>
          <w:p>
            <w:pPr>
              <w:pStyle w:val="Normal"/>
              <w:numPr>
                <w:ilvl w:val="0"/>
                <w:numId w:val="3"/>
              </w:numPr>
              <w:tabs>
                <w:tab w:val="clear" w:pos="720"/>
                <w:tab w:val="left" w:pos="342" w:leader="none"/>
              </w:tabs>
              <w:jc w:val="both"/>
              <w:rPr>
                <w:rFonts w:ascii="Arial Narrow" w:hAnsi="Arial Narrow" w:cs="Arial Narrow"/>
                <w:color w:val="000000"/>
                <w:sz w:val="22"/>
              </w:rPr>
            </w:pPr>
            <w:r>
              <w:rPr>
                <w:rFonts w:cs="Arial Narrow" w:ascii="Arial Narrow" w:hAnsi="Arial Narrow"/>
                <w:sz w:val="22"/>
              </w:rPr>
              <w:t xml:space="preserve">For the first 15,000 MMBtu per day in excess of the DCQ, the higher of the HSC </w:t>
            </w:r>
            <w:r>
              <w:rPr>
                <w:rFonts w:cs="Arial Narrow" w:ascii="Arial Narrow" w:hAnsi="Arial Narrow"/>
                <w:color w:val="000000"/>
                <w:sz w:val="22"/>
              </w:rPr>
              <w:t>Gas Daily Price for the day of flow and the following day.</w:t>
            </w:r>
          </w:p>
          <w:p>
            <w:pPr>
              <w:pStyle w:val="Normal"/>
              <w:numPr>
                <w:ilvl w:val="0"/>
                <w:numId w:val="3"/>
              </w:numPr>
              <w:tabs>
                <w:tab w:val="clear" w:pos="720"/>
                <w:tab w:val="left" w:pos="342" w:leader="none"/>
              </w:tabs>
              <w:jc w:val="both"/>
              <w:rPr>
                <w:rFonts w:ascii="Arial Narrow" w:hAnsi="Arial Narrow" w:cs="Arial Narrow"/>
                <w:sz w:val="22"/>
              </w:rPr>
            </w:pPr>
            <w:r>
              <w:rPr>
                <w:rFonts w:cs="Arial Narrow" w:ascii="Arial Narrow" w:hAnsi="Arial Narrow"/>
                <w:color w:val="000000"/>
                <w:sz w:val="22"/>
              </w:rPr>
              <w:t xml:space="preserve">For the next 15,000 MMBtu per day in excess of the volumes priced in (a), the highest of the HSC Gas Daily Price for the day of flow and the two following days. </w:t>
            </w:r>
          </w:p>
          <w:p>
            <w:pPr>
              <w:pStyle w:val="Normal"/>
              <w:tabs>
                <w:tab w:val="clear" w:pos="720"/>
                <w:tab w:val="left" w:pos="342"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342" w:leader="none"/>
              </w:tabs>
              <w:jc w:val="both"/>
              <w:rPr>
                <w:rFonts w:ascii="Arial Narrow" w:hAnsi="Arial Narrow" w:cs="Arial Narrow"/>
                <w:sz w:val="22"/>
              </w:rPr>
            </w:pPr>
            <w:r>
              <w:rPr>
                <w:rFonts w:cs="Arial Narrow" w:ascii="Arial Narrow" w:hAnsi="Arial Narrow"/>
                <w:sz w:val="22"/>
              </w:rPr>
              <w:t>3.  For volumes in excess of the MaxDQ the Contract Price per MMBtu shall be the highest of (a) the HSC Gas Daily Price for the day of flow and the two following days or (b) the price communicated by Seller to Buyer with not less than one (1) day’s notice.</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DEFICIENCY VOLUMES:</w:t>
            </w:r>
          </w:p>
        </w:tc>
        <w:tc>
          <w:tcPr>
            <w:tcW w:w="5947" w:type="dxa"/>
            <w:tcBorders/>
          </w:tcPr>
          <w:p>
            <w:pPr>
              <w:pStyle w:val="Normal"/>
              <w:jc w:val="both"/>
              <w:rPr>
                <w:rFonts w:ascii="Arial Narrow" w:hAnsi="Arial Narrow" w:cs="Arial Narrow"/>
                <w:sz w:val="22"/>
              </w:rPr>
            </w:pPr>
            <w:r>
              <w:rPr>
                <w:rFonts w:cs="Arial Narrow" w:ascii="Arial Narrow" w:hAnsi="Arial Narrow"/>
                <w:sz w:val="22"/>
              </w:rPr>
              <w:t>In the event Customer fails to purchase and receive the DCQ for any day during the period of delivery, Company shall purchase the deficiency volumes between the DCQ and the volumes actually purchased and received by Customer for such day, due to operational reasons and not excused by Force Majeure at the following prices:  For the first 10,000 MMBtu per day, the lower of the Katy Gas Daily Price for the day the deficiency occurred and the following day; and for any deficiency volumes over 10,000 MMBtu per day, the lowest of the Katy Gas Daily Price for the day the deficiency occurred and the following two days.</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SCHEDULED MAINTENANCE:</w:t>
            </w:r>
          </w:p>
        </w:tc>
        <w:tc>
          <w:tcPr>
            <w:tcW w:w="5947" w:type="dxa"/>
            <w:tcBorders/>
          </w:tcPr>
          <w:p>
            <w:pPr>
              <w:pStyle w:val="BodyText2"/>
              <w:rPr>
                <w:sz w:val="22"/>
              </w:rPr>
            </w:pPr>
            <w:r>
              <w:rPr>
                <w:sz w:val="22"/>
              </w:rPr>
              <w:t>Upon not less than 60 days prior written notice prior to the beginning of a month, Buyer shall notify Seller as to the beginning and scheduled completion of any Scheduled Maintenance that is to be performed at Buyer’s facility during the month and which of the two tools provided below that Buyer elects to utilize with regard to any volume deficiency that may be proposed with regard to such Scheduled Maintenance.  Buyer shall re-confirm the dates of Scheduled Maintenance not less than 5 days prior to the start of the month, and by 9:00 o’clock a.m. on the previous day.</w:t>
            </w:r>
          </w:p>
          <w:p>
            <w:pPr>
              <w:pStyle w:val="Normal"/>
              <w:jc w:val="both"/>
              <w:rPr>
                <w:rFonts w:ascii="Arial Narrow" w:hAnsi="Arial Narrow" w:cs="Arial Narrow"/>
                <w:sz w:val="22"/>
              </w:rPr>
            </w:pPr>
            <w:r>
              <w:rPr>
                <w:rFonts w:cs="Arial Narrow" w:ascii="Arial Narrow" w:hAnsi="Arial Narrow"/>
                <w:sz w:val="22"/>
              </w:rPr>
            </w:r>
          </w:p>
          <w:p>
            <w:pPr>
              <w:pStyle w:val="Normal"/>
              <w:ind w:hanging="792" w:start="792" w:end="0"/>
              <w:jc w:val="both"/>
              <w:rPr>
                <w:rFonts w:ascii="Arial Narrow" w:hAnsi="Arial Narrow" w:cs="Arial Narrow"/>
                <w:sz w:val="22"/>
              </w:rPr>
            </w:pPr>
            <w:r>
              <w:rPr>
                <w:rFonts w:cs="Arial Narrow" w:ascii="Arial Narrow" w:hAnsi="Arial Narrow"/>
                <w:sz w:val="22"/>
              </w:rPr>
              <w:t xml:space="preserve">Tool 1: </w:t>
              <w:tab/>
              <w:t>Buyer shall nominate a DCQ in accordance with the minimum and maximum tolerances provided under Daily Contract Quantity (DCQ) above and to the extent that deficiency volumes occur as a result of such Scheduled Maintenance, Company shall purchase such deficiency volumes at a price per MMBtu equal to the HSC Gas Daily Price published for the day such deficiency volumes occurred less $0.01.</w:t>
            </w:r>
          </w:p>
          <w:p>
            <w:pPr>
              <w:pStyle w:val="Normal"/>
              <w:ind w:hanging="792" w:start="792" w:end="0"/>
              <w:jc w:val="both"/>
              <w:rPr>
                <w:rFonts w:ascii="Arial Narrow" w:hAnsi="Arial Narrow" w:cs="Arial Narrow"/>
                <w:sz w:val="22"/>
              </w:rPr>
            </w:pPr>
            <w:r>
              <w:rPr>
                <w:rFonts w:cs="Arial Narrow" w:ascii="Arial Narrow" w:hAnsi="Arial Narrow"/>
                <w:sz w:val="22"/>
              </w:rPr>
              <w:t xml:space="preserve">Tool 2: </w:t>
              <w:tab/>
              <w:t>Buyer shall determine the minimum volume that Buyer expects to utilize on any day during the duration of such Scheduled Maintenance and such minimum volume shall be nominated as the DCQ for such month and Buyer shall trigger the following pricing for the volumes above such DCQ nominated by Buyer and up to the minimum DCQ applicable during such month under Daily Contract Quantity (DCQ) above. The Contract Price per MMBtu to be applicable for each day that Buyer purchases and receives volumes above the nominated DCQ and up to the minimum DCQ applicable for the month during which the Scheduled Maintenance is to occur shall be equal to the HSC Gas Daily Price for such day plus $0.03.</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SPOT PRICE (LOCATION):</w:t>
            </w:r>
          </w:p>
        </w:tc>
        <w:tc>
          <w:tcPr>
            <w:tcW w:w="5947" w:type="dxa"/>
            <w:tcBorders/>
          </w:tcPr>
          <w:p>
            <w:pPr>
              <w:pStyle w:val="Normal"/>
              <w:jc w:val="both"/>
              <w:rPr>
                <w:rFonts w:ascii="Arial Narrow" w:hAnsi="Arial Narrow" w:cs="Arial Narrow"/>
                <w:sz w:val="22"/>
              </w:rPr>
            </w:pPr>
            <w:r>
              <w:rPr>
                <w:rFonts w:cs="Arial Narrow" w:ascii="Arial Narrow" w:hAnsi="Arial Narrow"/>
                <w:sz w:val="22"/>
              </w:rPr>
              <w:t>East Houston Katy - Houston Ship Channel</w:t>
            </w:r>
          </w:p>
        </w:tc>
      </w:tr>
    </w:tbl>
    <w:p>
      <w:pPr>
        <w:pStyle w:val="Normal"/>
        <w:tabs>
          <w:tab w:val="clear" w:pos="720"/>
          <w:tab w:val="center" w:pos="10800" w:leader="none"/>
        </w:tabs>
        <w:jc w:val="both"/>
        <w:rPr>
          <w:rFonts w:ascii="Arial Narrow" w:hAnsi="Arial Narrow" w:cs="Arial Narrow"/>
          <w:b/>
          <w:sz w:val="22"/>
        </w:rPr>
      </w:pPr>
      <w:r>
        <w:rPr>
          <w:rFonts w:cs="Arial Narrow" w:ascii="Arial Narrow" w:hAnsi="Arial Narrow"/>
          <w:b/>
          <w:sz w:val="22"/>
        </w:rPr>
      </w:r>
    </w:p>
    <w:tbl>
      <w:tblPr>
        <w:tblW w:w="10620" w:type="dxa"/>
        <w:jc w:val="start"/>
        <w:tblInd w:w="0" w:type="dxa"/>
        <w:tblLayout w:type="fixed"/>
        <w:tblCellMar>
          <w:top w:w="0" w:type="dxa"/>
          <w:start w:w="360" w:type="dxa"/>
          <w:bottom w:w="0" w:type="dxa"/>
          <w:end w:w="115" w:type="dxa"/>
        </w:tblCellMar>
      </w:tblPr>
      <w:tblGrid>
        <w:gridCol w:w="4680"/>
        <w:gridCol w:w="5940"/>
      </w:tblGrid>
      <w:tr>
        <w:trPr/>
        <w:tc>
          <w:tcPr>
            <w:tcW w:w="4680" w:type="dxa"/>
            <w:tcBorders/>
          </w:tcPr>
          <w:p>
            <w:pPr>
              <w:pStyle w:val="Normal"/>
              <w:spacing w:before="0" w:after="120"/>
              <w:ind w:end="180"/>
              <w:jc w:val="both"/>
              <w:rPr>
                <w:rFonts w:ascii="Arial Narrow" w:hAnsi="Arial Narrow" w:cs="Arial Narrow"/>
                <w:sz w:val="22"/>
              </w:rPr>
            </w:pPr>
            <w:r>
              <w:rPr>
                <w:rFonts w:cs="Arial Narrow" w:ascii="Arial Narrow" w:hAnsi="Arial Narrow"/>
                <w:sz w:val="22"/>
              </w:rPr>
              <w:t>OTHER:</w:t>
            </w:r>
          </w:p>
        </w:tc>
        <w:tc>
          <w:tcPr>
            <w:tcW w:w="5940" w:type="dxa"/>
            <w:tcBorders/>
          </w:tcPr>
          <w:p>
            <w:pPr>
              <w:pStyle w:val="Normal"/>
              <w:ind w:hanging="360" w:start="180" w:end="180"/>
              <w:jc w:val="both"/>
              <w:rPr/>
            </w:pPr>
            <w:r>
              <w:rPr>
                <w:rFonts w:cs="Arial Narrow" w:ascii="Arial Narrow" w:hAnsi="Arial Narrow"/>
                <w:sz w:val="22"/>
              </w:rPr>
              <w:t>1. The term “</w:t>
            </w:r>
            <w:r>
              <w:rPr>
                <w:rFonts w:cs="Arial Narrow" w:ascii="Arial Narrow" w:hAnsi="Arial Narrow"/>
                <w:sz w:val="22"/>
                <w:u w:val="single"/>
              </w:rPr>
              <w:t>HSC Gas Daily Price</w:t>
            </w:r>
            <w:r>
              <w:rPr>
                <w:rFonts w:cs="Arial Narrow" w:ascii="Arial Narrow" w:hAnsi="Arial Narrow"/>
                <w:sz w:val="22"/>
              </w:rPr>
              <w:t xml:space="preserve">” means the  “Daily Midpoint” price set forth in </w:t>
            </w:r>
            <w:r>
              <w:rPr>
                <w:rFonts w:cs="Arial Narrow" w:ascii="Arial Narrow" w:hAnsi="Arial Narrow"/>
                <w:sz w:val="22"/>
                <w:u w:val="single"/>
              </w:rPr>
              <w:t>Gas Daily</w:t>
            </w:r>
            <w:r>
              <w:rPr>
                <w:rFonts w:cs="Arial Narrow" w:ascii="Arial Narrow" w:hAnsi="Arial Narrow"/>
                <w:sz w:val="22"/>
              </w:rPr>
              <w:t>® (Financial Times Energy), or successor publication, in the column "Daily Price Survey" under the listing applicable to East-Houston-Katy - Houston Ship Channel for the relevant Gas Day.  The term “</w:t>
            </w:r>
            <w:r>
              <w:rPr>
                <w:rFonts w:cs="Arial Narrow" w:ascii="Arial Narrow" w:hAnsi="Arial Narrow"/>
                <w:sz w:val="22"/>
                <w:u w:val="single"/>
              </w:rPr>
              <w:t>Katy Gas Daily Price</w:t>
            </w:r>
            <w:r>
              <w:rPr>
                <w:rFonts w:cs="Arial Narrow" w:ascii="Arial Narrow" w:hAnsi="Arial Narrow"/>
                <w:sz w:val="22"/>
              </w:rPr>
              <w:t xml:space="preserve">” means the  “Daily Midpoint” price set forth in </w:t>
            </w:r>
            <w:r>
              <w:rPr>
                <w:rFonts w:cs="Arial Narrow" w:ascii="Arial Narrow" w:hAnsi="Arial Narrow"/>
                <w:sz w:val="22"/>
                <w:u w:val="single"/>
              </w:rPr>
              <w:t>Gas Daily</w:t>
            </w:r>
            <w:r>
              <w:rPr>
                <w:rFonts w:cs="Arial Narrow" w:ascii="Arial Narrow" w:hAnsi="Arial Narrow"/>
                <w:sz w:val="22"/>
              </w:rPr>
              <w:t>® (Financial Times Energy), or successor publication, in the column "Daily Price Survey" under the listing applicable to East-Houston-Katy – Katy Plant tailgate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hanging="360" w:start="180" w:end="180"/>
              <w:jc w:val="both"/>
              <w:rPr>
                <w:rFonts w:ascii="Arial Narrow" w:hAnsi="Arial Narrow" w:cs="Arial Narrow"/>
                <w:sz w:val="22"/>
              </w:rPr>
            </w:pPr>
            <w:r>
              <w:rPr>
                <w:rFonts w:cs="Arial Narrow" w:ascii="Arial Narrow" w:hAnsi="Arial Narrow"/>
                <w:sz w:val="22"/>
              </w:rPr>
            </w:r>
          </w:p>
          <w:p>
            <w:pPr>
              <w:pStyle w:val="Normal"/>
              <w:numPr>
                <w:ilvl w:val="0"/>
                <w:numId w:val="4"/>
              </w:numPr>
              <w:ind w:hanging="360" w:start="180" w:end="180"/>
              <w:jc w:val="both"/>
              <w:rPr>
                <w:rFonts w:ascii="Arial Narrow" w:hAnsi="Arial Narrow" w:cs="Arial Narrow"/>
                <w:sz w:val="22"/>
              </w:rPr>
            </w:pPr>
            <w:r>
              <w:rPr>
                <w:rFonts w:cs="Arial Narrow" w:ascii="Arial Narrow" w:hAnsi="Arial Narrow"/>
                <w:sz w:val="22"/>
              </w:rPr>
              <w:t>During any event of Force Majeure, Customer shall prorate Customer's Gas requirements among this Transaction Agreement and the other firm suppliers.</w:t>
            </w:r>
          </w:p>
          <w:p>
            <w:pPr>
              <w:pStyle w:val="Normal"/>
              <w:ind w:start="-180" w:end="180"/>
              <w:jc w:val="both"/>
              <w:rPr>
                <w:rFonts w:ascii="Arial Narrow" w:hAnsi="Arial Narrow" w:cs="Arial Narrow"/>
                <w:sz w:val="22"/>
              </w:rPr>
            </w:pPr>
            <w:r>
              <w:rPr>
                <w:rFonts w:cs="Arial Narrow" w:ascii="Arial Narrow" w:hAnsi="Arial Narrow"/>
                <w:sz w:val="22"/>
              </w:rPr>
            </w:r>
          </w:p>
          <w:p>
            <w:pPr>
              <w:pStyle w:val="Normal"/>
              <w:numPr>
                <w:ilvl w:val="0"/>
                <w:numId w:val="4"/>
              </w:numPr>
              <w:ind w:hanging="360" w:start="180" w:end="180"/>
              <w:jc w:val="both"/>
              <w:rPr>
                <w:rFonts w:ascii="Arial Narrow" w:hAnsi="Arial Narrow" w:cs="Arial Narrow"/>
                <w:sz w:val="22"/>
              </w:rPr>
            </w:pPr>
            <w:r>
              <w:rPr>
                <w:rFonts w:cs="Arial Narrow" w:ascii="Arial Narrow" w:hAnsi="Arial Narrow"/>
                <w:sz w:val="22"/>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p>
            <w:pPr>
              <w:pStyle w:val="Normal"/>
              <w:ind w:end="180"/>
              <w:jc w:val="both"/>
              <w:rPr>
                <w:rFonts w:ascii="Arial Narrow" w:hAnsi="Arial Narrow" w:cs="Arial Narrow"/>
                <w:sz w:val="22"/>
              </w:rPr>
            </w:pPr>
            <w:r>
              <w:rPr>
                <w:rFonts w:cs="Arial Narrow" w:ascii="Arial Narrow" w:hAnsi="Arial Narrow"/>
                <w:sz w:val="22"/>
              </w:rPr>
            </w:r>
          </w:p>
          <w:p>
            <w:pPr>
              <w:pStyle w:val="Normal"/>
              <w:numPr>
                <w:ilvl w:val="0"/>
                <w:numId w:val="4"/>
              </w:numPr>
              <w:ind w:hanging="360" w:start="180" w:end="180"/>
              <w:jc w:val="both"/>
              <w:rPr>
                <w:rFonts w:ascii="Arial Narrow" w:hAnsi="Arial Narrow" w:cs="Arial Narrow"/>
                <w:sz w:val="22"/>
              </w:rPr>
            </w:pPr>
            <w:r>
              <w:rPr>
                <w:rFonts w:cs="Arial Narrow" w:ascii="Arial Narrow" w:hAnsi="Arial Narrow"/>
                <w:sz w:val="22"/>
              </w:rPr>
              <w:t>Company’s Gas specifications are that Gas shall meet the following requirements:</w:t>
            </w:r>
          </w:p>
          <w:p>
            <w:pPr>
              <w:pStyle w:val="BodyTextIndent2"/>
              <w:numPr>
                <w:ilvl w:val="0"/>
                <w:numId w:val="2"/>
              </w:numPr>
              <w:rPr>
                <w:sz w:val="22"/>
              </w:rPr>
            </w:pPr>
            <w:r>
              <w:rPr>
                <w:sz w:val="22"/>
              </w:rPr>
              <w:t>Have a total heating value of not less than 950 Btus per cubic foot when saturated with water vapor (gross basis);</w:t>
            </w:r>
          </w:p>
          <w:p>
            <w:pPr>
              <w:pStyle w:val="Normal"/>
              <w:numPr>
                <w:ilvl w:val="0"/>
                <w:numId w:val="2"/>
              </w:numPr>
              <w:jc w:val="both"/>
              <w:rPr>
                <w:rFonts w:ascii="Arial Narrow" w:hAnsi="Arial Narrow" w:cs="Arial Narrow"/>
                <w:sz w:val="22"/>
              </w:rPr>
            </w:pPr>
            <w:r>
              <w:rPr>
                <w:rFonts w:cs="Arial Narrow" w:ascii="Arial Narrow" w:hAnsi="Arial Narrow"/>
                <w:sz w:val="22"/>
              </w:rPr>
              <w:t>Be commercially free of all dust, hydrocarbon liquids, water, suspended matter, all gums and gum forming constituents and any other objectionable substances;</w:t>
            </w:r>
          </w:p>
          <w:p>
            <w:pPr>
              <w:pStyle w:val="Normal"/>
              <w:numPr>
                <w:ilvl w:val="0"/>
                <w:numId w:val="2"/>
              </w:numPr>
              <w:jc w:val="both"/>
              <w:rPr>
                <w:rFonts w:ascii="Arial Narrow" w:hAnsi="Arial Narrow" w:cs="Arial Narrow"/>
                <w:sz w:val="22"/>
              </w:rPr>
            </w:pPr>
            <w:r>
              <w:rPr>
                <w:rFonts w:cs="Arial" w:ascii="Arial Narrow" w:hAnsi="Arial Narrow"/>
                <w:sz w:val="22"/>
              </w:rPr>
              <w:t>Not contain more than twenty (20) grains of total sulfur, nor more than one-fourth (1/4) grain of hydrogen sulfide per one hundred (100) standard cubic feet at the Points of Receipt nor more than one (1) grain of hydrogen sulfide per one hundred (100) standard cubic feet at the Points of Delivery</w:t>
            </w:r>
            <w:r>
              <w:rPr>
                <w:rFonts w:cs="Arial Narrow" w:ascii="Arial Narrow" w:hAnsi="Arial Narrow"/>
                <w:sz w:val="22"/>
              </w:rPr>
              <w:t>;</w:t>
            </w:r>
          </w:p>
          <w:p>
            <w:pPr>
              <w:pStyle w:val="Normal"/>
              <w:numPr>
                <w:ilvl w:val="0"/>
                <w:numId w:val="2"/>
              </w:numPr>
              <w:jc w:val="both"/>
              <w:rPr>
                <w:rFonts w:ascii="Arial Narrow" w:hAnsi="Arial Narrow" w:cs="Arial Narrow"/>
                <w:sz w:val="22"/>
              </w:rPr>
            </w:pPr>
            <w:r>
              <w:rPr>
                <w:rFonts w:cs="Arial Narrow" w:ascii="Arial Narrow" w:hAnsi="Arial Narrow"/>
                <w:sz w:val="22"/>
              </w:rPr>
              <w:t>Contain no more than 2.0% by volume of carbon dioxide, 0.2% by volume of oxygen, and 3.0% by volume of total inerts;</w:t>
            </w:r>
          </w:p>
          <w:p>
            <w:pPr>
              <w:pStyle w:val="Normal"/>
              <w:numPr>
                <w:ilvl w:val="0"/>
                <w:numId w:val="2"/>
              </w:numPr>
              <w:jc w:val="both"/>
              <w:rPr>
                <w:rFonts w:ascii="Arial Narrow" w:hAnsi="Arial Narrow" w:cs="Arial Narrow"/>
                <w:sz w:val="22"/>
              </w:rPr>
            </w:pPr>
            <w:r>
              <w:rPr>
                <w:rFonts w:cs="Arial Narrow" w:ascii="Arial Narrow" w:hAnsi="Arial Narrow"/>
                <w:sz w:val="22"/>
              </w:rPr>
              <w:t>Have a temperature of not more than Fahrenheit 120ºF. or less than 45ºF.;</w:t>
            </w:r>
          </w:p>
          <w:p>
            <w:pPr>
              <w:pStyle w:val="Normal"/>
              <w:numPr>
                <w:ilvl w:val="0"/>
                <w:numId w:val="2"/>
              </w:numPr>
              <w:jc w:val="both"/>
              <w:rPr>
                <w:rFonts w:ascii="Arial Narrow" w:hAnsi="Arial Narrow" w:cs="Arial Narrow"/>
                <w:sz w:val="22"/>
              </w:rPr>
            </w:pPr>
            <w:r>
              <w:rPr>
                <w:rFonts w:cs="Arial Narrow" w:ascii="Arial Narrow" w:hAnsi="Arial Narrow"/>
                <w:sz w:val="22"/>
              </w:rPr>
              <w:t>Contain no more than 7 pounds of entrained water vapor per million cubic feet; and</w:t>
            </w:r>
          </w:p>
          <w:p>
            <w:pPr>
              <w:pStyle w:val="Normal"/>
              <w:numPr>
                <w:ilvl w:val="0"/>
                <w:numId w:val="2"/>
              </w:numPr>
              <w:jc w:val="both"/>
              <w:rPr>
                <w:rFonts w:ascii="Arial Narrow" w:hAnsi="Arial Narrow" w:cs="Arial Narrow"/>
                <w:sz w:val="22"/>
              </w:rPr>
            </w:pPr>
            <w:r>
              <w:rPr>
                <w:rFonts w:cs="Arial Narrow" w:ascii="Arial Narrow" w:hAnsi="Arial Narrow"/>
                <w:sz w:val="22"/>
              </w:rPr>
              <w:t>Have a hydrocarbon dewpoint of 45ºF or less at pipeline operating pressures between 200 psig and 1100 psig.</w:t>
            </w:r>
          </w:p>
          <w:p>
            <w:pPr>
              <w:pStyle w:val="Normal"/>
              <w:numPr>
                <w:ilvl w:val="0"/>
                <w:numId w:val="4"/>
              </w:numPr>
              <w:jc w:val="both"/>
              <w:rPr>
                <w:rFonts w:ascii="Arial Narrow" w:hAnsi="Arial Narrow" w:cs="Arial Narrow"/>
                <w:sz w:val="22"/>
              </w:rPr>
            </w:pPr>
            <w:r>
              <w:rPr>
                <w:rFonts w:cs="Arial Narrow" w:ascii="Arial Narrow" w:hAnsi="Arial Narrow"/>
                <w:sz w:val="22"/>
                <w:u w:val="single"/>
              </w:rPr>
              <w:t>Measurement</w:t>
            </w:r>
            <w:r>
              <w:rPr>
                <w:rFonts w:cs="Arial Narrow" w:ascii="Arial Narrow" w:hAnsi="Arial Narrow"/>
                <w:sz w:val="22"/>
              </w:rPr>
              <w:t>.  Except as otherwise agreed by Company, the metering facilities used to measure the volumes of Gas delivered at the Points of Delivery shall be maintained and operated or caused to be maintained and operated by Company.  The Btu content of the Gas shall be determined by facilities at the Points of Delivery.  Such measurement facilities and measurement data on Gas measured at such facilities shall at all reasonable times be subject to joint inspection by the Parties.  Measurement shall be conducted in accordance with Company's general practices and procedures, the current form of which are generally set forth on Appendix "I" hereto; such general practices and procedures may, at Company's sole election, be modified or updated from time to time.</w:t>
            </w:r>
          </w:p>
          <w:p>
            <w:pPr>
              <w:pStyle w:val="Normal"/>
              <w:ind w:hanging="360" w:start="180" w:end="0"/>
              <w:jc w:val="both"/>
              <w:rPr/>
            </w:pPr>
            <w:r>
              <w:rPr>
                <w:rFonts w:cs="Arial Narrow" w:ascii="Arial Narrow" w:hAnsi="Arial Narrow"/>
                <w:sz w:val="22"/>
              </w:rPr>
              <w:t>6.</w:t>
              <w:tab/>
            </w:r>
            <w:r>
              <w:rPr>
                <w:rFonts w:cs="Arial Narrow" w:ascii="Arial Narrow" w:hAnsi="Arial Narrow"/>
                <w:sz w:val="22"/>
                <w:u w:val="single"/>
              </w:rPr>
              <w:t>Meter Test</w:t>
            </w:r>
            <w:r>
              <w:rPr>
                <w:rFonts w:cs="Arial Narrow" w:ascii="Arial Narrow" w:hAnsi="Arial Narrow"/>
                <w:sz w:val="22"/>
              </w:rPr>
              <w:t>.  At intervals determined to be appropriate by the measuring Party, orifice and other types of meters and appurtenant instruments shall be tested and calibrated in accordance with Company's general practices and procedures, the current form of which are generally set forth on Appendix "I" hereto; such general practices and procedures may, at Company's sole election, be modified or updated from time to time.</w:t>
            </w:r>
          </w:p>
        </w:tc>
      </w:tr>
      <w:tr>
        <w:trPr/>
        <w:tc>
          <w:tcPr>
            <w:tcW w:w="4680" w:type="dxa"/>
            <w:tcBorders/>
          </w:tcPr>
          <w:p>
            <w:pPr>
              <w:pStyle w:val="Normal"/>
              <w:snapToGrid w:val="false"/>
              <w:ind w:end="187"/>
              <w:jc w:val="both"/>
              <w:rPr>
                <w:rFonts w:ascii="Arial Narrow" w:hAnsi="Arial Narrow" w:cs="Arial Narrow"/>
                <w:sz w:val="22"/>
                <w:u w:val="single"/>
              </w:rPr>
            </w:pPr>
            <w:r>
              <w:rPr>
                <w:rFonts w:cs="Arial Narrow" w:ascii="Arial Narrow" w:hAnsi="Arial Narrow"/>
                <w:sz w:val="22"/>
                <w:u w:val="single"/>
              </w:rPr>
            </w:r>
          </w:p>
        </w:tc>
        <w:tc>
          <w:tcPr>
            <w:tcW w:w="5940" w:type="dxa"/>
            <w:tcBorders/>
          </w:tcPr>
          <w:p>
            <w:pPr>
              <w:pStyle w:val="Normal"/>
              <w:snapToGrid w:val="false"/>
              <w:ind w:hanging="360" w:start="180" w:end="187"/>
              <w:jc w:val="both"/>
              <w:rPr>
                <w:rFonts w:ascii="Arial Narrow" w:hAnsi="Arial Narrow" w:cs="Arial Narrow"/>
                <w:sz w:val="22"/>
              </w:rPr>
            </w:pPr>
            <w:r>
              <w:rPr>
                <w:rFonts w:cs="Arial Narrow" w:ascii="Arial Narrow" w:hAnsi="Arial Narrow"/>
                <w:sz w:val="22"/>
              </w:rPr>
            </w:r>
          </w:p>
        </w:tc>
      </w:tr>
    </w:tbl>
    <w:p>
      <w:pPr>
        <w:pStyle w:val="BodyText"/>
        <w:rPr>
          <w:sz w:val="22"/>
        </w:rPr>
      </w:pPr>
      <w:r>
        <w:rPr>
          <w:sz w:val="22"/>
        </w:rPr>
      </w:r>
    </w:p>
    <w:p>
      <w:pPr>
        <w:pStyle w:val="BodyText"/>
        <w:jc w:val="center"/>
        <w:rPr>
          <w:b/>
          <w:bCs/>
          <w:sz w:val="22"/>
        </w:rPr>
      </w:pPr>
      <w:r>
        <w:rPr>
          <w:b/>
          <w:bCs/>
          <w:sz w:val="22"/>
        </w:rPr>
        <w:t>Part II</w:t>
      </w:r>
    </w:p>
    <w:p>
      <w:pPr>
        <w:pStyle w:val="BodyText"/>
        <w:rPr>
          <w:b/>
          <w:bCs/>
          <w:sz w:val="22"/>
        </w:rPr>
      </w:pPr>
      <w:r>
        <w:rPr>
          <w:b/>
          <w:bCs/>
          <w:sz w:val="22"/>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sz w:val="22"/>
              </w:rPr>
              <w:t>DAILY CONTRACT QUANTITY ("</w:t>
            </w:r>
            <w:r>
              <w:rPr>
                <w:rFonts w:cs="Arial Narrow" w:ascii="Arial Narrow" w:hAnsi="Arial Narrow"/>
                <w:sz w:val="22"/>
                <w:u w:val="single"/>
              </w:rPr>
              <w:t>DCQ</w:t>
            </w:r>
            <w:r>
              <w:rPr>
                <w:rFonts w:cs="Arial Narrow" w:ascii="Arial Narrow" w:hAnsi="Arial Narrow"/>
                <w:sz w:val="22"/>
              </w:rPr>
              <w:t>"):</w:t>
            </w:r>
          </w:p>
        </w:tc>
        <w:tc>
          <w:tcPr>
            <w:tcW w:w="5947" w:type="dxa"/>
            <w:tcBorders/>
          </w:tcPr>
          <w:p>
            <w:pPr>
              <w:pStyle w:val="Normal"/>
              <w:jc w:val="both"/>
              <w:rPr>
                <w:rFonts w:ascii="Arial Narrow" w:hAnsi="Arial Narrow" w:cs="Arial Narrow"/>
                <w:sz w:val="22"/>
              </w:rPr>
            </w:pPr>
            <w:r>
              <w:rPr>
                <w:rFonts w:cs="Arial Narrow" w:ascii="Arial Narrow" w:hAnsi="Arial Narrow"/>
                <w:sz w:val="22"/>
              </w:rPr>
              <w:t>100% of Buyer’s LaPorte Chemical Plant gas requirements up to the MaxDQ.</w:t>
            </w:r>
          </w:p>
        </w:tc>
      </w:tr>
      <w:tr>
        <w:trPr/>
        <w:tc>
          <w:tcPr>
            <w:tcW w:w="4428" w:type="dxa"/>
            <w:tcBorders/>
          </w:tcPr>
          <w:p>
            <w:pPr>
              <w:pStyle w:val="Normal"/>
              <w:snapToGrid w:val="false"/>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pPr>
            <w:r>
              <w:rPr>
                <w:rFonts w:cs="Arial Narrow" w:ascii="Arial Narrow" w:hAnsi="Arial Narrow"/>
                <w:sz w:val="22"/>
              </w:rPr>
              <w:t>MAXIMUM DAILY QUANTITY (“</w:t>
            </w:r>
            <w:r>
              <w:rPr>
                <w:rFonts w:cs="Arial Narrow" w:ascii="Arial Narrow" w:hAnsi="Arial Narrow"/>
                <w:sz w:val="22"/>
                <w:u w:val="single"/>
              </w:rPr>
              <w:t>MaxDQ</w:t>
            </w:r>
            <w:r>
              <w:rPr>
                <w:rFonts w:cs="Arial Narrow" w:ascii="Arial Narrow" w:hAnsi="Arial Narrow"/>
                <w:sz w:val="22"/>
              </w:rPr>
              <w:t>”):</w:t>
            </w:r>
          </w:p>
        </w:tc>
        <w:tc>
          <w:tcPr>
            <w:tcW w:w="5947" w:type="dxa"/>
            <w:tcBorders/>
          </w:tcPr>
          <w:p>
            <w:pPr>
              <w:pStyle w:val="Normal"/>
              <w:jc w:val="both"/>
              <w:rPr>
                <w:rFonts w:ascii="Arial Narrow" w:hAnsi="Arial Narrow" w:cs="Arial Narrow"/>
                <w:sz w:val="22"/>
              </w:rPr>
            </w:pPr>
            <w:r>
              <w:rPr>
                <w:rFonts w:cs="Arial Narrow" w:ascii="Arial Narrow" w:hAnsi="Arial Narrow"/>
                <w:sz w:val="22"/>
              </w:rPr>
              <w:t>200 MMBtu.</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t>DELIVERY POINT:</w:t>
            </w:r>
          </w:p>
        </w:tc>
        <w:tc>
          <w:tcPr>
            <w:tcW w:w="5947" w:type="dxa"/>
            <w:tcBorders/>
          </w:tcPr>
          <w:p>
            <w:pPr>
              <w:pStyle w:val="Normal"/>
              <w:jc w:val="both"/>
              <w:rPr>
                <w:rFonts w:ascii="Arial Narrow" w:hAnsi="Arial Narrow" w:cs="Arial Narrow"/>
                <w:sz w:val="22"/>
              </w:rPr>
            </w:pPr>
            <w:r>
              <w:rPr>
                <w:rFonts w:cs="Arial Narrow" w:ascii="Arial Narrow" w:hAnsi="Arial Narrow"/>
                <w:sz w:val="22"/>
              </w:rPr>
              <w:t>Houston Pipe Line Company Meter 1370 located in Harris County, Texas.</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GAS SPECIFICATIONS:</w:t>
            </w:r>
          </w:p>
          <w:p>
            <w:pPr>
              <w:pStyle w:val="Normal"/>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The Gas delivered at Houston Pipe Line Company Meter 1370 shall meet Company’s Gas specifications as set forth in item 4 of OTHER in Part I above.</w:t>
            </w:r>
          </w:p>
          <w:p>
            <w:pPr>
              <w:pStyle w:val="Normal"/>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PERIOD OF DELIVERY:</w:t>
            </w:r>
          </w:p>
        </w:tc>
        <w:tc>
          <w:tcPr>
            <w:tcW w:w="5947" w:type="dxa"/>
            <w:tcBorders/>
          </w:tcPr>
          <w:p>
            <w:pPr>
              <w:pStyle w:val="Normal"/>
              <w:jc w:val="both"/>
              <w:rPr>
                <w:rFonts w:ascii="Arial Narrow" w:hAnsi="Arial Narrow" w:cs="Arial Narrow"/>
                <w:sz w:val="22"/>
              </w:rPr>
            </w:pPr>
            <w:r>
              <w:rPr>
                <w:rFonts w:cs="Arial Narrow" w:ascii="Arial Narrow" w:hAnsi="Arial Narrow"/>
                <w:sz w:val="22"/>
              </w:rPr>
              <w:t xml:space="preserve">January 1, 2001 through September 30, 2002 </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CONTRACT PRICE (per MMBtu):</w:t>
            </w:r>
          </w:p>
        </w:tc>
        <w:tc>
          <w:tcPr>
            <w:tcW w:w="5947" w:type="dxa"/>
            <w:tcBorders/>
          </w:tcPr>
          <w:p>
            <w:pPr>
              <w:pStyle w:val="Normal"/>
              <w:tabs>
                <w:tab w:val="clear" w:pos="720"/>
                <w:tab w:val="left" w:pos="342" w:leader="none"/>
              </w:tabs>
              <w:jc w:val="both"/>
              <w:rPr/>
            </w:pPr>
            <w:r>
              <w:rPr>
                <w:rFonts w:cs="Arial Narrow" w:ascii="Arial Narrow" w:hAnsi="Arial Narrow"/>
                <w:sz w:val="22"/>
              </w:rPr>
              <w:t xml:space="preserve">The Contract Price per MMBtu each Month during the Period of Delivery shall be the "Houston Ship Channel/Beaumont, Texas" price published in the first of the month issue of McGraw-Hill's </w:t>
            </w:r>
            <w:r>
              <w:rPr>
                <w:rFonts w:cs="Arial Narrow" w:ascii="Arial Narrow" w:hAnsi="Arial Narrow"/>
                <w:sz w:val="22"/>
                <w:u w:val="single"/>
              </w:rPr>
              <w:t>Inside F.E.R.C.'s Gas Market Report</w:t>
            </w:r>
            <w:r>
              <w:rPr>
                <w:rFonts w:cs="Arial Narrow" w:ascii="Arial Narrow" w:hAnsi="Arial Narrow"/>
                <w:sz w:val="22"/>
              </w:rPr>
              <w:t xml:space="preserve"> as reported as the "Index (large packages only)" price in the table "Delivered Spot-Gas Prices", plus $0.10 per MMBtu.</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SPOT PRICE (LOCATION):</w:t>
            </w:r>
          </w:p>
        </w:tc>
        <w:tc>
          <w:tcPr>
            <w:tcW w:w="5947" w:type="dxa"/>
            <w:tcBorders/>
          </w:tcPr>
          <w:p>
            <w:pPr>
              <w:pStyle w:val="Normal"/>
              <w:jc w:val="both"/>
              <w:rPr>
                <w:rFonts w:ascii="Arial Narrow" w:hAnsi="Arial Narrow" w:cs="Arial Narrow"/>
                <w:sz w:val="22"/>
              </w:rPr>
            </w:pPr>
            <w:r>
              <w:rPr>
                <w:rFonts w:cs="Arial Narrow" w:ascii="Arial Narrow" w:hAnsi="Arial Narrow"/>
                <w:sz w:val="22"/>
              </w:rPr>
              <w:t>East Houston Katy - Houston Ship Channel</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OTHER:</w:t>
            </w:r>
          </w:p>
        </w:tc>
        <w:tc>
          <w:tcPr>
            <w:tcW w:w="5947" w:type="dxa"/>
            <w:tcBorders/>
          </w:tcPr>
          <w:p>
            <w:pPr>
              <w:pStyle w:val="Normal"/>
              <w:jc w:val="both"/>
              <w:rPr>
                <w:rFonts w:ascii="Arial Narrow" w:hAnsi="Arial Narrow" w:cs="Arial Narrow"/>
                <w:sz w:val="22"/>
              </w:rPr>
            </w:pPr>
            <w:r>
              <w:rPr>
                <w:rFonts w:cs="Arial Narrow" w:ascii="Arial Narrow" w:hAnsi="Arial Narrow"/>
                <w:sz w:val="22"/>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bl>
    <w:p>
      <w:pPr>
        <w:pStyle w:val="BodyText"/>
        <w:rPr>
          <w:sz w:val="22"/>
        </w:rPr>
      </w:pPr>
      <w:r>
        <w:rPr>
          <w:sz w:val="22"/>
        </w:rPr>
      </w:r>
    </w:p>
    <w:p>
      <w:pPr>
        <w:pStyle w:val="BodyText"/>
        <w:jc w:val="center"/>
        <w:rPr>
          <w:b/>
          <w:bCs/>
          <w:sz w:val="22"/>
        </w:rPr>
      </w:pPr>
      <w:r>
        <w:rPr>
          <w:b/>
          <w:bCs/>
          <w:sz w:val="22"/>
        </w:rPr>
        <w:t>Part III</w:t>
      </w:r>
    </w:p>
    <w:p>
      <w:pPr>
        <w:pStyle w:val="BodyText"/>
        <w:rPr>
          <w:b/>
          <w:bCs/>
          <w:sz w:val="22"/>
        </w:rPr>
      </w:pPr>
      <w:r>
        <w:rPr>
          <w:b/>
          <w:bCs/>
          <w:sz w:val="22"/>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sz w:val="22"/>
              </w:rPr>
              <w:t>DAILY CONTRACT QUANTITY ("</w:t>
            </w:r>
            <w:r>
              <w:rPr>
                <w:rFonts w:cs="Arial Narrow" w:ascii="Arial Narrow" w:hAnsi="Arial Narrow"/>
                <w:sz w:val="22"/>
                <w:u w:val="single"/>
              </w:rPr>
              <w:t>DCQ</w:t>
            </w:r>
            <w:r>
              <w:rPr>
                <w:rFonts w:cs="Arial Narrow" w:ascii="Arial Narrow" w:hAnsi="Arial Narrow"/>
                <w:sz w:val="22"/>
              </w:rPr>
              <w:t>"):</w:t>
            </w:r>
          </w:p>
        </w:tc>
        <w:tc>
          <w:tcPr>
            <w:tcW w:w="5947" w:type="dxa"/>
            <w:tcBorders/>
          </w:tcPr>
          <w:p>
            <w:pPr>
              <w:pStyle w:val="Normal"/>
              <w:jc w:val="both"/>
              <w:rPr>
                <w:rFonts w:ascii="Arial Narrow" w:hAnsi="Arial Narrow" w:cs="Arial Narrow"/>
                <w:sz w:val="22"/>
              </w:rPr>
            </w:pPr>
            <w:r>
              <w:rPr>
                <w:rFonts w:cs="Arial Narrow" w:ascii="Arial Narrow" w:hAnsi="Arial Narrow"/>
                <w:sz w:val="22"/>
              </w:rPr>
              <w:t>100% of Buyer’s Houston Olefins Plant gas requirements up to the MaxDQ.</w:t>
            </w:r>
          </w:p>
        </w:tc>
      </w:tr>
      <w:tr>
        <w:trPr/>
        <w:tc>
          <w:tcPr>
            <w:tcW w:w="4428" w:type="dxa"/>
            <w:tcBorders/>
          </w:tcPr>
          <w:p>
            <w:pPr>
              <w:pStyle w:val="Normal"/>
              <w:snapToGrid w:val="false"/>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pPr>
            <w:r>
              <w:rPr>
                <w:rFonts w:cs="Arial Narrow" w:ascii="Arial Narrow" w:hAnsi="Arial Narrow"/>
                <w:sz w:val="22"/>
              </w:rPr>
              <w:t>MAXIMUM DAILY QUANTITY (“</w:t>
            </w:r>
            <w:r>
              <w:rPr>
                <w:rFonts w:cs="Arial Narrow" w:ascii="Arial Narrow" w:hAnsi="Arial Narrow"/>
                <w:sz w:val="22"/>
                <w:u w:val="single"/>
              </w:rPr>
              <w:t>MaxDQ</w:t>
            </w:r>
            <w:r>
              <w:rPr>
                <w:rFonts w:cs="Arial Narrow" w:ascii="Arial Narrow" w:hAnsi="Arial Narrow"/>
                <w:sz w:val="22"/>
              </w:rPr>
              <w:t>”):</w:t>
            </w:r>
          </w:p>
        </w:tc>
        <w:tc>
          <w:tcPr>
            <w:tcW w:w="5947" w:type="dxa"/>
            <w:tcBorders/>
          </w:tcPr>
          <w:p>
            <w:pPr>
              <w:pStyle w:val="Normal"/>
              <w:jc w:val="both"/>
              <w:rPr>
                <w:rFonts w:ascii="Arial Narrow" w:hAnsi="Arial Narrow" w:cs="Arial Narrow"/>
                <w:sz w:val="22"/>
              </w:rPr>
            </w:pPr>
            <w:r>
              <w:rPr>
                <w:rFonts w:cs="Arial Narrow" w:ascii="Arial Narrow" w:hAnsi="Arial Narrow"/>
                <w:sz w:val="22"/>
              </w:rPr>
              <w:t>12,000 MMBtu.</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t>DELIVERY POINT:</w:t>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1800" w:leader="none"/>
              </w:tabs>
              <w:jc w:val="both"/>
              <w:rPr>
                <w:rFonts w:ascii="Arial Narrow" w:hAnsi="Arial Narrow" w:cs="Arial Narrow"/>
                <w:sz w:val="22"/>
              </w:rPr>
            </w:pPr>
            <w:r>
              <w:rPr>
                <w:rFonts w:cs="Arial Narrow" w:ascii="Arial Narrow" w:hAnsi="Arial Narrow"/>
                <w:sz w:val="22"/>
              </w:rPr>
              <w:t>GAS SPECIFICATIONS:</w:t>
            </w:r>
          </w:p>
        </w:tc>
        <w:tc>
          <w:tcPr>
            <w:tcW w:w="5947" w:type="dxa"/>
            <w:tcBorders/>
          </w:tcPr>
          <w:p>
            <w:pPr>
              <w:pStyle w:val="Normal"/>
              <w:jc w:val="both"/>
              <w:rPr>
                <w:rFonts w:ascii="Arial Narrow" w:hAnsi="Arial Narrow" w:cs="Arial Narrow"/>
                <w:sz w:val="22"/>
              </w:rPr>
            </w:pPr>
            <w:r>
              <w:rPr>
                <w:rFonts w:cs="Arial Narrow" w:ascii="Arial Narrow" w:hAnsi="Arial Narrow"/>
                <w:sz w:val="22"/>
              </w:rPr>
              <w:t>Houston Pipe Line Company Meter 1256 located in Harris County, Texas.</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The Gas delivered at Houston Pipe Line Company Meter 1256 shall meet the quality specifications of the pipeline or distribution company delivering the gas to or for the account of Company at such point.</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PERIOD OF DELIVERY:</w:t>
            </w:r>
          </w:p>
        </w:tc>
        <w:tc>
          <w:tcPr>
            <w:tcW w:w="5947" w:type="dxa"/>
            <w:tcBorders/>
          </w:tcPr>
          <w:p>
            <w:pPr>
              <w:pStyle w:val="Normal"/>
              <w:jc w:val="both"/>
              <w:rPr>
                <w:rFonts w:ascii="Arial Narrow" w:hAnsi="Arial Narrow" w:cs="Arial Narrow"/>
                <w:sz w:val="22"/>
              </w:rPr>
            </w:pPr>
            <w:r>
              <w:rPr>
                <w:rFonts w:cs="Arial Narrow" w:ascii="Arial Narrow" w:hAnsi="Arial Narrow"/>
                <w:sz w:val="22"/>
              </w:rPr>
              <w:t xml:space="preserve">January 1, 2001 through September 30, 2002 </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CONTRACT PRICE (per MMBtu):</w:t>
            </w:r>
          </w:p>
        </w:tc>
        <w:tc>
          <w:tcPr>
            <w:tcW w:w="5947" w:type="dxa"/>
            <w:tcBorders/>
          </w:tcPr>
          <w:p>
            <w:pPr>
              <w:pStyle w:val="Normal"/>
              <w:jc w:val="both"/>
              <w:rPr/>
            </w:pPr>
            <w:r>
              <w:rPr>
                <w:rFonts w:cs="Arial Narrow" w:ascii="Arial Narrow" w:hAnsi="Arial Narrow"/>
                <w:sz w:val="22"/>
              </w:rPr>
              <w:t xml:space="preserve">1.  The Contract Price per MMBtu for the first 200 MMBtu per day each Month during the Period of Delivery shall be the "Houston Ship Channel/Beaumont, Texas" price published in the first of the month issue of McGraw-Hill's </w:t>
            </w:r>
            <w:r>
              <w:rPr>
                <w:rFonts w:cs="Arial Narrow" w:ascii="Arial Narrow" w:hAnsi="Arial Narrow"/>
                <w:sz w:val="22"/>
                <w:u w:val="single"/>
              </w:rPr>
              <w:t>Inside F.E.R.C.'s Gas Market Report</w:t>
            </w:r>
            <w:r>
              <w:rPr>
                <w:rFonts w:cs="Arial Narrow" w:ascii="Arial Narrow" w:hAnsi="Arial Narrow"/>
                <w:sz w:val="22"/>
              </w:rPr>
              <w:t xml:space="preserve"> as reported as the "Index (large packages only)" price in the table "Delivered Spot-Gas Prices", plus $0.10 per MMBtu.</w:t>
            </w:r>
          </w:p>
          <w:p>
            <w:pPr>
              <w:pStyle w:val="Normal"/>
              <w:jc w:val="both"/>
              <w:rPr>
                <w:rFonts w:ascii="Arial Narrow" w:hAnsi="Arial Narrow" w:eastAsia="Arial Narrow" w:cs="Arial Narrow"/>
                <w:sz w:val="22"/>
              </w:rPr>
            </w:pPr>
            <w:r>
              <w:rPr>
                <w:rFonts w:eastAsia="Arial Narrow" w:cs="Arial Narrow" w:ascii="Arial Narrow" w:hAnsi="Arial Narrow"/>
                <w:sz w:val="22"/>
              </w:rPr>
              <w:t xml:space="preserve"> </w:t>
            </w:r>
          </w:p>
          <w:p>
            <w:pPr>
              <w:pStyle w:val="Normal"/>
              <w:tabs>
                <w:tab w:val="clear" w:pos="720"/>
                <w:tab w:val="left" w:pos="342" w:leader="none"/>
              </w:tabs>
              <w:jc w:val="both"/>
              <w:rPr/>
            </w:pPr>
            <w:r>
              <w:rPr>
                <w:rFonts w:cs="Arial Narrow" w:ascii="Arial Narrow" w:hAnsi="Arial Narrow"/>
                <w:sz w:val="22"/>
              </w:rPr>
              <w:t xml:space="preserve">2.  The Contract Price per MMBtu for all volumes in excess of the first 200 MMBtu per day shall be the higher of the HSC </w:t>
            </w:r>
            <w:r>
              <w:rPr>
                <w:rFonts w:cs="Arial Narrow" w:ascii="Arial Narrow" w:hAnsi="Arial Narrow"/>
                <w:color w:val="000000"/>
                <w:sz w:val="22"/>
              </w:rPr>
              <w:t>Gas Daily Price for the day of flow and the following day plus $0.05 per MMBtu.</w:t>
            </w:r>
            <w:r>
              <w:rPr>
                <w:rFonts w:cs="Arial Narrow" w:ascii="Arial Narrow" w:hAnsi="Arial Narrow"/>
                <w:sz w:val="22"/>
              </w:rPr>
              <w:t xml:space="preserve">  The term “</w:t>
            </w:r>
            <w:r>
              <w:rPr>
                <w:rFonts w:cs="Arial Narrow" w:ascii="Arial Narrow" w:hAnsi="Arial Narrow"/>
                <w:sz w:val="22"/>
                <w:u w:val="single"/>
              </w:rPr>
              <w:t>HSC Gas Daily Price</w:t>
            </w:r>
            <w:r>
              <w:rPr>
                <w:rFonts w:cs="Arial Narrow" w:ascii="Arial Narrow" w:hAnsi="Arial Narrow"/>
                <w:sz w:val="22"/>
              </w:rPr>
              <w:t xml:space="preserve">” means the  “Daily Midpoint” price set forth in </w:t>
            </w:r>
            <w:r>
              <w:rPr>
                <w:rFonts w:cs="Arial Narrow" w:ascii="Arial Narrow" w:hAnsi="Arial Narrow"/>
                <w:sz w:val="22"/>
                <w:u w:val="single"/>
              </w:rPr>
              <w:t>Gas Daily</w:t>
            </w:r>
            <w:r>
              <w:rPr>
                <w:rFonts w:cs="Arial Narrow" w:ascii="Arial Narrow" w:hAnsi="Arial Narrow"/>
                <w:sz w:val="22"/>
              </w:rPr>
              <w:t xml:space="preserve">® (Financial Times Energy), or successor publication, in the column "Daily Price Survey" under the listing applicable to East-Houston-Katy - Houston Ship Channel for the relevant Gas Day.  </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SPOT PRICE (LOCATION):</w:t>
            </w:r>
          </w:p>
        </w:tc>
        <w:tc>
          <w:tcPr>
            <w:tcW w:w="5947" w:type="dxa"/>
            <w:tcBorders/>
          </w:tcPr>
          <w:p>
            <w:pPr>
              <w:pStyle w:val="Normal"/>
              <w:jc w:val="both"/>
              <w:rPr>
                <w:rFonts w:ascii="Arial Narrow" w:hAnsi="Arial Narrow" w:cs="Arial Narrow"/>
                <w:sz w:val="22"/>
              </w:rPr>
            </w:pPr>
            <w:r>
              <w:rPr>
                <w:rFonts w:cs="Arial Narrow" w:ascii="Arial Narrow" w:hAnsi="Arial Narrow"/>
                <w:sz w:val="22"/>
              </w:rPr>
              <w:t>East Houston Katy - Houston Ship Channel</w:t>
            </w:r>
          </w:p>
        </w:tc>
      </w:tr>
      <w:tr>
        <w:trPr/>
        <w:tc>
          <w:tcPr>
            <w:tcW w:w="4428" w:type="dxa"/>
            <w:tcBorders/>
          </w:tcPr>
          <w:p>
            <w:pPr>
              <w:pStyle w:val="Normal"/>
              <w:snapToGrid w:val="false"/>
              <w:jc w:val="both"/>
              <w:rPr>
                <w:rFonts w:ascii="Arial Narrow" w:hAnsi="Arial Narrow" w:cs="Arial Narrow"/>
                <w:sz w:val="22"/>
              </w:rPr>
            </w:pPr>
            <w:r>
              <w:rPr>
                <w:rFonts w:cs="Arial Narrow" w:ascii="Arial Narrow" w:hAnsi="Arial Narrow"/>
                <w:sz w:val="22"/>
              </w:rPr>
            </w:r>
          </w:p>
        </w:tc>
        <w:tc>
          <w:tcPr>
            <w:tcW w:w="5947" w:type="dxa"/>
            <w:tcBorders/>
          </w:tcPr>
          <w:p>
            <w:pPr>
              <w:pStyle w:val="Normal"/>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jc w:val="both"/>
              <w:rPr>
                <w:rFonts w:ascii="Arial Narrow" w:hAnsi="Arial Narrow" w:cs="Arial Narrow"/>
                <w:sz w:val="22"/>
              </w:rPr>
            </w:pPr>
            <w:r>
              <w:rPr>
                <w:rFonts w:cs="Arial Narrow" w:ascii="Arial Narrow" w:hAnsi="Arial Narrow"/>
                <w:sz w:val="22"/>
              </w:rPr>
              <w:t>OTHER:</w:t>
            </w:r>
          </w:p>
        </w:tc>
        <w:tc>
          <w:tcPr>
            <w:tcW w:w="5947" w:type="dxa"/>
            <w:tcBorders/>
          </w:tcPr>
          <w:p>
            <w:pPr>
              <w:pStyle w:val="Normal"/>
              <w:jc w:val="both"/>
              <w:rPr>
                <w:rFonts w:ascii="Arial Narrow" w:hAnsi="Arial Narrow" w:cs="Arial Narrow"/>
                <w:sz w:val="22"/>
              </w:rPr>
            </w:pPr>
            <w:r>
              <w:rPr>
                <w:rFonts w:cs="Arial Narrow" w:ascii="Arial Narrow" w:hAnsi="Arial Narrow"/>
                <w:sz w:val="22"/>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bl>
    <w:p>
      <w:pPr>
        <w:pStyle w:val="BodyText"/>
        <w:rPr>
          <w:sz w:val="22"/>
        </w:rPr>
      </w:pPr>
      <w:r>
        <w:rPr>
          <w:sz w:val="22"/>
        </w:rPr>
      </w:r>
    </w:p>
    <w:p>
      <w:pPr>
        <w:pStyle w:val="BodyText"/>
        <w:rPr>
          <w:sz w:val="22"/>
        </w:rPr>
      </w:pPr>
      <w:r>
        <w:rPr>
          <w:sz w:val="22"/>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the Transaction Agreement.  </w:t>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r>
    </w:p>
    <w:tbl>
      <w:tblPr>
        <w:tblW w:w="9558" w:type="dxa"/>
        <w:jc w:val="start"/>
        <w:tblInd w:w="0" w:type="dxa"/>
        <w:tblLayout w:type="fixed"/>
        <w:tblCellMar>
          <w:top w:w="0" w:type="dxa"/>
          <w:start w:w="108" w:type="dxa"/>
          <w:bottom w:w="0" w:type="dxa"/>
          <w:end w:w="108" w:type="dxa"/>
        </w:tblCellMar>
      </w:tblPr>
      <w:tblGrid>
        <w:gridCol w:w="4428"/>
        <w:gridCol w:w="5130"/>
      </w:tblGrid>
      <w:tr>
        <w:trPr/>
        <w:tc>
          <w:tcPr>
            <w:tcW w:w="4428" w:type="dxa"/>
            <w:tcBorders/>
          </w:tcPr>
          <w:p>
            <w:pPr>
              <w:pStyle w:val="Normal"/>
              <w:tabs>
                <w:tab w:val="clear" w:pos="720"/>
                <w:tab w:val="left" w:pos="3960" w:leader="none"/>
              </w:tabs>
              <w:jc w:val="both"/>
              <w:rPr>
                <w:rFonts w:ascii="Arial Narrow" w:hAnsi="Arial Narrow" w:cs="Arial Narrow"/>
                <w:sz w:val="22"/>
              </w:rPr>
            </w:pPr>
            <w:r>
              <w:rPr>
                <w:rFonts w:cs="Arial Narrow" w:ascii="Arial Narrow" w:hAnsi="Arial Narrow"/>
                <w:sz w:val="22"/>
              </w:rPr>
              <w:t>MOBIL OIL CORPORATION</w:t>
            </w:r>
          </w:p>
        </w:tc>
        <w:tc>
          <w:tcPr>
            <w:tcW w:w="5130" w:type="dxa"/>
            <w:tcBorders/>
          </w:tcPr>
          <w:p>
            <w:pPr>
              <w:pStyle w:val="Normal"/>
              <w:tabs>
                <w:tab w:val="clear" w:pos="720"/>
                <w:tab w:val="left" w:pos="4572" w:leader="none"/>
              </w:tabs>
              <w:jc w:val="both"/>
              <w:rPr>
                <w:rFonts w:ascii="Arial Narrow" w:hAnsi="Arial Narrow" w:cs="Arial Narrow"/>
                <w:sz w:val="22"/>
              </w:rPr>
            </w:pPr>
            <w:r>
              <w:rPr>
                <w:rFonts w:cs="Arial Narrow" w:ascii="Arial Narrow" w:hAnsi="Arial Narrow"/>
                <w:sz w:val="22"/>
              </w:rPr>
              <w:t>HOUSTON PIPE LINE COMPANY</w:t>
            </w:r>
          </w:p>
        </w:tc>
      </w:tr>
      <w:tr>
        <w:trPr/>
        <w:tc>
          <w:tcPr>
            <w:tcW w:w="4428" w:type="dxa"/>
            <w:tcBorders/>
          </w:tcPr>
          <w:p>
            <w:pPr>
              <w:pStyle w:val="Normal"/>
              <w:tabs>
                <w:tab w:val="clear" w:pos="720"/>
                <w:tab w:val="left" w:pos="3960" w:leader="none"/>
              </w:tabs>
              <w:snapToGrid w:val="false"/>
              <w:jc w:val="both"/>
              <w:rPr>
                <w:rFonts w:ascii="Arial Narrow" w:hAnsi="Arial Narrow" w:cs="Arial Narrow"/>
                <w:sz w:val="22"/>
              </w:rPr>
            </w:pPr>
            <w:r>
              <w:rPr>
                <w:rFonts w:cs="Arial Narrow" w:ascii="Arial Narrow" w:hAnsi="Arial Narrow"/>
                <w:sz w:val="22"/>
              </w:rPr>
            </w:r>
          </w:p>
        </w:tc>
        <w:tc>
          <w:tcPr>
            <w:tcW w:w="5130" w:type="dxa"/>
            <w:tcBorders/>
          </w:tcPr>
          <w:p>
            <w:pPr>
              <w:pStyle w:val="Normal"/>
              <w:tabs>
                <w:tab w:val="clear" w:pos="720"/>
                <w:tab w:val="left" w:pos="4572" w:leader="none"/>
              </w:tabs>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tabs>
                <w:tab w:val="clear" w:pos="720"/>
                <w:tab w:val="left" w:pos="3960" w:leader="none"/>
              </w:tabs>
              <w:snapToGrid w:val="false"/>
              <w:jc w:val="both"/>
              <w:rPr>
                <w:rFonts w:ascii="Arial Narrow" w:hAnsi="Arial Narrow" w:cs="Arial Narrow"/>
                <w:sz w:val="22"/>
              </w:rPr>
            </w:pPr>
            <w:r>
              <w:rPr>
                <w:rFonts w:cs="Arial Narrow" w:ascii="Arial Narrow" w:hAnsi="Arial Narrow"/>
                <w:sz w:val="22"/>
              </w:rPr>
            </w:r>
          </w:p>
        </w:tc>
        <w:tc>
          <w:tcPr>
            <w:tcW w:w="5130" w:type="dxa"/>
            <w:tcBorders/>
          </w:tcPr>
          <w:p>
            <w:pPr>
              <w:pStyle w:val="Normal"/>
              <w:tabs>
                <w:tab w:val="clear" w:pos="720"/>
                <w:tab w:val="left" w:pos="4572" w:leader="none"/>
              </w:tabs>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tabs>
                <w:tab w:val="clear" w:pos="720"/>
                <w:tab w:val="left" w:pos="3960" w:leader="none"/>
              </w:tabs>
              <w:snapToGrid w:val="false"/>
              <w:jc w:val="both"/>
              <w:rPr>
                <w:rFonts w:ascii="Arial Narrow" w:hAnsi="Arial Narrow" w:cs="Arial Narrow"/>
                <w:sz w:val="22"/>
              </w:rPr>
            </w:pPr>
            <w:r>
              <w:rPr>
                <w:rFonts w:cs="Arial Narrow" w:ascii="Arial Narrow" w:hAnsi="Arial Narrow"/>
                <w:sz w:val="22"/>
              </w:rPr>
            </w:r>
          </w:p>
        </w:tc>
        <w:tc>
          <w:tcPr>
            <w:tcW w:w="5130" w:type="dxa"/>
            <w:tcBorders/>
          </w:tcPr>
          <w:p>
            <w:pPr>
              <w:pStyle w:val="Normal"/>
              <w:tabs>
                <w:tab w:val="clear" w:pos="720"/>
                <w:tab w:val="left" w:pos="4572" w:leader="none"/>
              </w:tabs>
              <w:snapToGrid w:val="false"/>
              <w:jc w:val="both"/>
              <w:rPr>
                <w:rFonts w:ascii="Arial Narrow" w:hAnsi="Arial Narrow" w:cs="Arial Narrow"/>
                <w:sz w:val="22"/>
              </w:rPr>
            </w:pPr>
            <w:r>
              <w:rPr>
                <w:rFonts w:cs="Arial Narrow" w:ascii="Arial Narrow" w:hAnsi="Arial Narrow"/>
                <w:sz w:val="22"/>
              </w:rPr>
            </w:r>
          </w:p>
        </w:tc>
      </w:tr>
      <w:tr>
        <w:trPr/>
        <w:tc>
          <w:tcPr>
            <w:tcW w:w="4428" w:type="dxa"/>
            <w:tcBorders/>
          </w:tcPr>
          <w:p>
            <w:pPr>
              <w:pStyle w:val="Normal"/>
              <w:tabs>
                <w:tab w:val="clear" w:pos="720"/>
                <w:tab w:val="left" w:pos="3960" w:leader="none"/>
              </w:tabs>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r>
          </w:p>
        </w:tc>
        <w:tc>
          <w:tcPr>
            <w:tcW w:w="5130" w:type="dxa"/>
            <w:tcBorders/>
          </w:tcPr>
          <w:p>
            <w:pPr>
              <w:pStyle w:val="Normal"/>
              <w:tabs>
                <w:tab w:val="clear" w:pos="720"/>
                <w:tab w:val="left" w:pos="4572" w:leader="none"/>
              </w:tabs>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r>
          </w:p>
        </w:tc>
      </w:tr>
      <w:tr>
        <w:trPr/>
        <w:tc>
          <w:tcPr>
            <w:tcW w:w="4428" w:type="dxa"/>
            <w:tcBorders/>
          </w:tcPr>
          <w:p>
            <w:pPr>
              <w:pStyle w:val="Normal"/>
              <w:tabs>
                <w:tab w:val="clear" w:pos="720"/>
                <w:tab w:val="left" w:pos="3960" w:leader="none"/>
              </w:tabs>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r>
          </w:p>
        </w:tc>
        <w:tc>
          <w:tcPr>
            <w:tcW w:w="5130" w:type="dxa"/>
            <w:tcBorders/>
          </w:tcPr>
          <w:p>
            <w:pPr>
              <w:pStyle w:val="Normal"/>
              <w:tabs>
                <w:tab w:val="clear" w:pos="720"/>
                <w:tab w:val="left" w:pos="4572" w:leader="none"/>
              </w:tabs>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r>
          </w:p>
        </w:tc>
      </w:tr>
      <w:tr>
        <w:trPr/>
        <w:tc>
          <w:tcPr>
            <w:tcW w:w="4428" w:type="dxa"/>
            <w:tcBorders/>
          </w:tcPr>
          <w:p>
            <w:pPr>
              <w:pStyle w:val="Normal"/>
              <w:tabs>
                <w:tab w:val="clear" w:pos="720"/>
                <w:tab w:val="left" w:pos="3960" w:leader="none"/>
              </w:tabs>
              <w:jc w:val="both"/>
              <w:rPr>
                <w:rFonts w:ascii="Arial Narrow" w:hAnsi="Arial Narrow" w:cs="Arial Narrow"/>
                <w:sz w:val="22"/>
              </w:rPr>
            </w:pPr>
            <w:r>
              <w:rPr>
                <w:rFonts w:cs="Arial Narrow" w:ascii="Arial Narrow" w:hAnsi="Arial Narrow"/>
                <w:sz w:val="22"/>
              </w:rPr>
              <w:t xml:space="preserve">Date: </w:t>
            </w:r>
            <w:r>
              <w:rPr>
                <w:rFonts w:cs="Arial Narrow" w:ascii="Arial Narrow" w:hAnsi="Arial Narrow"/>
                <w:sz w:val="22"/>
                <w:u w:val="single"/>
              </w:rPr>
              <w:tab/>
            </w:r>
          </w:p>
        </w:tc>
        <w:tc>
          <w:tcPr>
            <w:tcW w:w="5130" w:type="dxa"/>
            <w:tcBorders/>
          </w:tcPr>
          <w:p>
            <w:pPr>
              <w:pStyle w:val="Normal"/>
              <w:tabs>
                <w:tab w:val="clear" w:pos="720"/>
                <w:tab w:val="left" w:pos="4572" w:leader="none"/>
              </w:tabs>
              <w:jc w:val="both"/>
              <w:rPr>
                <w:rFonts w:ascii="Arial Narrow" w:hAnsi="Arial Narrow" w:cs="Arial Narrow"/>
                <w:sz w:val="22"/>
              </w:rPr>
            </w:pPr>
            <w:r>
              <w:rPr>
                <w:rFonts w:cs="Arial Narrow" w:ascii="Arial Narrow" w:hAnsi="Arial Narrow"/>
                <w:sz w:val="22"/>
              </w:rPr>
              <w:t xml:space="preserve">Date: </w:t>
            </w:r>
            <w:r>
              <w:rPr>
                <w:rFonts w:cs="Arial Narrow" w:ascii="Arial Narrow" w:hAnsi="Arial Narrow"/>
                <w:sz w:val="22"/>
                <w:u w:val="single"/>
              </w:rPr>
              <w:tab/>
            </w:r>
          </w:p>
        </w:tc>
      </w:tr>
    </w:tbl>
    <w:p>
      <w:pPr>
        <w:pStyle w:val="Normal"/>
        <w:rPr>
          <w:rFonts w:ascii="Arial Narrow" w:hAnsi="Arial Narrow" w:cs="Arial Narrow"/>
          <w:sz w:val="22"/>
        </w:rPr>
      </w:pPr>
      <w:r>
        <w:rPr>
          <w:rFonts w:cs="Arial Narrow" w:ascii="Arial Narrow" w:hAnsi="Arial Narrow"/>
          <w:sz w:val="22"/>
        </w:rPr>
      </w:r>
      <w:r>
        <w:br w:type="page"/>
      </w:r>
    </w:p>
    <w:p>
      <w:pPr>
        <w:pStyle w:val="Normal"/>
        <w:ind w:hanging="864" w:start="864" w:end="0"/>
        <w:jc w:val="center"/>
        <w:rPr>
          <w:rFonts w:ascii="Arial Narrow" w:hAnsi="Arial Narrow" w:cs="Arial Narrow"/>
          <w:b/>
          <w:sz w:val="22"/>
        </w:rPr>
      </w:pPr>
      <w:r>
        <w:rPr>
          <w:rFonts w:cs="Arial Narrow" w:ascii="Arial Narrow" w:hAnsi="Arial Narrow"/>
          <w:b/>
          <w:sz w:val="22"/>
        </w:rPr>
        <w:t>APPENDIX “I”</w:t>
      </w:r>
    </w:p>
    <w:p>
      <w:pPr>
        <w:pStyle w:val="Normal"/>
        <w:ind w:hanging="864" w:start="864" w:end="0"/>
        <w:jc w:val="center"/>
        <w:rPr>
          <w:rFonts w:ascii="Arial Narrow" w:hAnsi="Arial Narrow" w:cs="Arial Narrow"/>
          <w:b/>
          <w:sz w:val="22"/>
        </w:rPr>
      </w:pPr>
      <w:r>
        <w:rPr>
          <w:rFonts w:cs="Arial Narrow" w:ascii="Arial Narrow" w:hAnsi="Arial Narrow"/>
          <w:b/>
          <w:sz w:val="22"/>
        </w:rPr>
      </w:r>
    </w:p>
    <w:p>
      <w:pPr>
        <w:pStyle w:val="Normal"/>
        <w:ind w:hanging="864" w:start="864" w:end="0"/>
        <w:jc w:val="center"/>
        <w:rPr>
          <w:rFonts w:ascii="Arial Narrow" w:hAnsi="Arial Narrow" w:cs="Arial Narrow"/>
          <w:b/>
          <w:sz w:val="22"/>
        </w:rPr>
      </w:pPr>
      <w:r>
        <w:rPr>
          <w:rFonts w:cs="Arial Narrow" w:ascii="Arial Narrow" w:hAnsi="Arial Narrow"/>
          <w:b/>
          <w:sz w:val="22"/>
        </w:rPr>
        <w:t>GENERAL PRACTICES AND PROCEDURES REGARDING</w:t>
      </w:r>
    </w:p>
    <w:p>
      <w:pPr>
        <w:pStyle w:val="Normal"/>
        <w:ind w:hanging="864" w:start="864" w:end="0"/>
        <w:jc w:val="center"/>
        <w:rPr>
          <w:rFonts w:ascii="Arial Narrow" w:hAnsi="Arial Narrow" w:cs="Arial Narrow"/>
          <w:b/>
          <w:sz w:val="22"/>
        </w:rPr>
      </w:pPr>
      <w:r>
        <w:rPr>
          <w:rFonts w:cs="Arial Narrow" w:ascii="Arial Narrow" w:hAnsi="Arial Narrow"/>
          <w:b/>
          <w:sz w:val="22"/>
        </w:rPr>
        <w:t>MEASUREMENT AND METERING INFORMATION</w:t>
      </w:r>
    </w:p>
    <w:p>
      <w:pPr>
        <w:pStyle w:val="Normal"/>
        <w:ind w:hanging="864" w:start="864" w:end="0"/>
        <w:jc w:val="center"/>
        <w:rPr>
          <w:rFonts w:ascii="Arial Narrow" w:hAnsi="Arial Narrow" w:cs="Arial Narrow"/>
          <w:b/>
          <w:sz w:val="22"/>
          <w:u w:val="single"/>
        </w:rPr>
      </w:pPr>
      <w:r>
        <w:rPr>
          <w:rFonts w:cs="Arial Narrow" w:ascii="Arial Narrow" w:hAnsi="Arial Narrow"/>
          <w:b/>
          <w:sz w:val="22"/>
          <w:u w:val="single"/>
        </w:rPr>
        <w:t>IN EFFECT ON THE EFFECTIVE DATE</w:t>
      </w:r>
    </w:p>
    <w:p>
      <w:pPr>
        <w:pStyle w:val="Normal"/>
        <w:ind w:hanging="864" w:start="864" w:end="0"/>
        <w:rPr>
          <w:rFonts w:ascii="Arial Narrow" w:hAnsi="Arial Narrow" w:cs="Arial Narrow"/>
          <w:b/>
          <w:sz w:val="22"/>
          <w:u w:val="single"/>
        </w:rPr>
      </w:pPr>
      <w:r>
        <w:rPr>
          <w:rFonts w:cs="Arial Narrow" w:ascii="Arial Narrow" w:hAnsi="Arial Narrow"/>
          <w:b/>
          <w:sz w:val="22"/>
          <w:u w:val="single"/>
        </w:rPr>
      </w:r>
    </w:p>
    <w:p>
      <w:pPr>
        <w:pStyle w:val="Normal"/>
        <w:spacing w:before="0" w:after="120"/>
        <w:jc w:val="both"/>
        <w:rPr/>
      </w:pPr>
      <w:r>
        <w:rPr>
          <w:rFonts w:cs="Arial Narrow" w:ascii="Arial Narrow" w:hAnsi="Arial Narrow"/>
          <w:sz w:val="22"/>
        </w:rPr>
        <w:t>1.</w:t>
        <w:tab/>
      </w:r>
      <w:r>
        <w:rPr>
          <w:rFonts w:cs="Arial Narrow" w:ascii="Arial Narrow" w:hAnsi="Arial Narrow"/>
          <w:sz w:val="22"/>
          <w:u w:val="single"/>
        </w:rPr>
        <w:t>Measurement</w:t>
      </w:r>
      <w:r>
        <w:rPr>
          <w:rFonts w:cs="Arial Narrow" w:ascii="Arial Narrow" w:hAnsi="Arial Narrow"/>
          <w:sz w:val="22"/>
        </w:rPr>
        <w:t>.  Except as otherwise agreed by Company, the metering facilities to measure the volumes of Gas delivered at each Point of Delivery shall be maintained and operated or caused to be maintained and operated by Company.  The Btu content of the Gas shall be determined by the facilities at the Points of Delivery.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sz w:val="22"/>
        </w:rPr>
        <w:sym w:font="Symbol" w:char="f0b0"/>
      </w:r>
      <w:r>
        <w:rPr>
          <w:rFonts w:cs="Arial Narrow" w:ascii="Arial Narrow" w:hAnsi="Arial Narrow"/>
          <w:sz w:val="22"/>
        </w:rPr>
        <w:t>F.) and at an absolute pressure of fourteen and sixty-five one hundredths (14.65) pounds per square inch absolute.  Atmospheric pressure for each of the Points of Delivery shall be assumed to be the pressure value determined by Company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Company through use of a continuous Gas sample accumulator, on premises analysis, or by spot samples taken at the Points of Delivery at intervals determined to be appropriate by Company.  Results from a continuous sampler shall be used to calculate volumes delivered during the same period in which the sample was accumulated; provided, however, that Company reserves the right to adopt the practice of using the Btu content measured for a period prior to the Month of Gas flow in calculating the quantity of Gas delivered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2"/>
        </w:rPr>
        <w:sym w:font="Symbol" w:char="f0b0"/>
      </w:r>
      <w:r>
        <w:rPr>
          <w:rFonts w:cs="Arial Narrow" w:ascii="Arial Narrow" w:hAnsi="Arial Narrow"/>
          <w:sz w:val="22"/>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delivered under this Agreement during any Month at a given Point of Delivery equals a quantity less than the product of (i) 300 MMBtu per Day </w:t>
      </w:r>
      <w:r>
        <w:rPr>
          <w:rFonts w:cs="Arial Narrow" w:ascii="Arial Narrow" w:hAnsi="Arial Narrow"/>
          <w:sz w:val="22"/>
          <w:u w:val="single"/>
        </w:rPr>
        <w:t>times</w:t>
      </w:r>
      <w:r>
        <w:rPr>
          <w:rFonts w:cs="Arial Narrow" w:ascii="Arial Narrow" w:hAnsi="Arial Narrow"/>
          <w:sz w:val="22"/>
        </w:rPr>
        <w:t xml:space="preserve"> (ii) the number of Days in the Month during which Company delivered Gas in accordance with a confirmed nomination, then Company may, at its election, charge Customer a metering fee ("Metering Fee") of $350 for such Month with respect to each such Point.</w:t>
      </w:r>
    </w:p>
    <w:p>
      <w:pPr>
        <w:pStyle w:val="Normal"/>
        <w:spacing w:before="0" w:after="120"/>
        <w:jc w:val="both"/>
        <w:rPr/>
      </w:pPr>
      <w:r>
        <w:rPr>
          <w:rFonts w:cs="Arial Narrow" w:ascii="Arial Narrow" w:hAnsi="Arial Narrow"/>
          <w:sz w:val="22"/>
        </w:rPr>
        <w:t>2.</w:t>
        <w:tab/>
      </w:r>
      <w:r>
        <w:rPr>
          <w:rFonts w:cs="Arial Narrow" w:ascii="Arial Narrow" w:hAnsi="Arial Narrow"/>
          <w:sz w:val="22"/>
          <w:u w:val="single"/>
        </w:rPr>
        <w:t>Meter and Other Measurement Device Calibration</w:t>
      </w:r>
      <w:r>
        <w:rPr>
          <w:rFonts w:cs="Arial Narrow" w:ascii="Arial Narrow" w:hAnsi="Arial Narrow"/>
          <w:sz w:val="22"/>
        </w:rPr>
        <w:t>. 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rFonts w:ascii="Arial Narrow" w:hAnsi="Arial Narrow" w:cs="Arial Narrow"/>
          <w:sz w:val="22"/>
        </w:rPr>
      </w:pPr>
      <w:r>
        <w:rPr>
          <w:rFonts w:cs="Arial Narrow" w:ascii="Arial Narrow" w:hAnsi="Arial Narrow"/>
          <w:sz w:val="22"/>
        </w:rPr>
        <w:t>a.</w:t>
        <w:tab/>
        <w:t>By using the registration of any check measuring equipment, if installed and registering;</w:t>
      </w:r>
    </w:p>
    <w:p>
      <w:pPr>
        <w:pStyle w:val="Normal"/>
        <w:spacing w:before="0" w:after="120"/>
        <w:ind w:hanging="720" w:start="1440" w:end="720"/>
        <w:jc w:val="both"/>
        <w:rPr>
          <w:rFonts w:ascii="Arial Narrow" w:hAnsi="Arial Narrow" w:cs="Arial Narrow"/>
          <w:sz w:val="22"/>
        </w:rPr>
      </w:pPr>
      <w:r>
        <w:rPr>
          <w:rFonts w:cs="Arial Narrow" w:ascii="Arial Narrow" w:hAnsi="Arial Narrow"/>
          <w:sz w:val="22"/>
        </w:rPr>
        <w:t>b.</w:t>
        <w:tab/>
        <w:t>By correcting the error if the percentage of error is ascertainable by calibration, test or mathematical calculations; and</w:t>
      </w:r>
    </w:p>
    <w:p>
      <w:pPr>
        <w:pStyle w:val="Normal"/>
        <w:spacing w:before="0" w:after="120"/>
        <w:ind w:hanging="720" w:start="1440" w:end="720"/>
        <w:jc w:val="both"/>
        <w:rPr>
          <w:rFonts w:ascii="Arial Narrow" w:hAnsi="Arial Narrow" w:cs="Arial Narrow"/>
          <w:sz w:val="22"/>
        </w:rPr>
      </w:pPr>
      <w:r>
        <w:rPr>
          <w:rFonts w:cs="Arial Narrow" w:ascii="Arial Narrow" w:hAnsi="Arial Narrow"/>
          <w:sz w:val="22"/>
        </w:rPr>
        <w:t>c.</w:t>
        <w:tab/>
        <w:t>By estimating the quantity of deliveries by deliveries during preceding periods under similar conditions when the meter was registering accurately.</w:t>
      </w:r>
    </w:p>
    <w:p>
      <w:pPr>
        <w:pStyle w:val="Normal"/>
        <w:spacing w:before="0" w:after="120"/>
        <w:jc w:val="both"/>
        <w:rPr>
          <w:rFonts w:ascii="Arial Narrow" w:hAnsi="Arial Narrow" w:cs="Arial Narrow"/>
          <w:sz w:val="22"/>
        </w:rPr>
      </w:pPr>
      <w:r>
        <w:rPr>
          <w:rFonts w:cs="Arial Narrow" w:ascii="Arial Narrow" w:hAnsi="Arial Narrow"/>
          <w:sz w:val="22"/>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pPr>
      <w:r>
        <w:rPr>
          <w:rFonts w:cs="Arial Narrow" w:ascii="Arial Narrow" w:hAnsi="Arial Narrow"/>
          <w:sz w:val="22"/>
        </w:rPr>
        <w:t>3.</w:t>
        <w:tab/>
      </w:r>
      <w:r>
        <w:rPr>
          <w:rFonts w:cs="Arial Narrow" w:ascii="Arial Narrow" w:hAnsi="Arial Narrow"/>
          <w:sz w:val="22"/>
          <w:u w:val="single"/>
        </w:rPr>
        <w:t>Pulsation</w:t>
      </w:r>
      <w:r>
        <w:rPr>
          <w:rFonts w:cs="Arial Narrow" w:ascii="Arial Narrow" w:hAnsi="Arial Narrow"/>
          <w:sz w:val="22"/>
        </w:rPr>
        <w:t>.  If Company determines that any measurement error results from pulsation, Customer shall or shall itself cause the person who owns the facilities that are causing the pulsation to (within 60 Days of its receipt of such notice and at its or their own expense) reduce the pulsation to a level such that the square root error in respect of pulsation is not greater than 1%.</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2"/>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10</w:t>
    </w:r>
    <w:r>
      <w:rPr>
        <w:rStyle w:val="PageNumber"/>
        <w:sz w:val="20"/>
        <w:rFonts w:cs="Arial Narrow" w:ascii="Arial Narrow" w:hAnsi="Arial Narrow"/>
      </w:rPr>
      <w:fldChar w:fldCharType="end"/>
    </w:r>
  </w:p>
  <w:p>
    <w:pPr>
      <w:pStyle w:val="Footer"/>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/mnt/main-storage/datasets/enron-docs/doc/2000_69crfm-bccb86aeb20c8652e465758cde174a7571297d3094389d37427f5e0a1a082a6c.doc</w:t>
    </w:r>
    <w:r>
      <w:rPr>
        <w:sz w:val="12"/>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2"/>
      </w:rPr>
    </w:pPr>
    <w:r>
      <w:rPr>
        <w:rFonts w:cs="Arial Narrow" w:ascii="Arial Narrow" w:hAnsi="Arial Narrow"/>
        <w:sz w:val="12"/>
      </w:rPr>
    </w:r>
  </w:p>
  <w:p>
    <w:pPr>
      <w:pStyle w:val="Footer"/>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/mnt/main-storage/datasets/enron-docs/doc/2000_69crfm-bccb86aeb20c8652e465758cde174a7571297d3094389d37427f5e0a1a082a6c.doc</w:t>
    </w:r>
    <w:r>
      <w:rPr>
        <w:sz w:val="12"/>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rPr>
    </w:pPr>
    <w:r>
      <w:rPr>
        <w:rFonts w:cs="Arial Narrow" w:ascii="Arial Narrow" w:hAnsi="Arial Narrow"/>
      </w:rPr>
      <w:t>Mobil Oil Corporation</w:t>
    </w:r>
  </w:p>
  <w:p>
    <w:pPr>
      <w:pStyle w:val="Normal"/>
      <w:rPr>
        <w:rFonts w:ascii="Arial Narrow" w:hAnsi="Arial Narrow" w:cs="Arial Narrow"/>
      </w:rPr>
    </w:pPr>
    <w:r>
      <w:rPr>
        <w:rFonts w:cs="Arial Narrow" w:ascii="Arial Narrow" w:hAnsi="Arial Narrow"/>
      </w:rPr>
      <w:t>December 1, 2000</w:t>
    </w:r>
  </w:p>
  <w:p>
    <w:pPr>
      <w:pStyle w:val="Normal"/>
      <w:rPr>
        <w:rStyle w:val="PageNumber"/>
        <w:rFonts w:ascii="Arial Narrow" w:hAnsi="Arial Narrow" w:cs="Arial Narrow"/>
        <w:szCs w:val="20"/>
      </w:rPr>
    </w:pPr>
    <w:r>
      <w:rPr>
        <w:rFonts w:cs="Arial Narrow" w:ascii="Arial Narrow" w:hAnsi="Arial Narrow"/>
      </w:rPr>
      <w:t xml:space="preserve">Page </w:t>
    </w:r>
    <w:r>
      <w:rPr>
        <w:rStyle w:val="PageNumber"/>
        <w:rFonts w:cs="Arial Narrow" w:ascii="Arial Narrow" w:hAnsi="Arial Narrow"/>
        <w:szCs w:val="20"/>
      </w:rPr>
      <w:fldChar w:fldCharType="begin"/>
    </w:r>
    <w:r>
      <w:rPr>
        <w:rStyle w:val="PageNumber"/>
        <w:szCs w:val="20"/>
        <w:rFonts w:cs="Arial Narrow" w:ascii="Arial Narrow" w:hAnsi="Arial Narrow"/>
      </w:rPr>
      <w:instrText xml:space="preserve"> PAGE </w:instrText>
    </w:r>
    <w:r>
      <w:rPr>
        <w:rStyle w:val="PageNumber"/>
        <w:szCs w:val="20"/>
        <w:rFonts w:cs="Arial Narrow" w:ascii="Arial Narrow" w:hAnsi="Arial Narrow"/>
      </w:rPr>
      <w:fldChar w:fldCharType="separate"/>
    </w:r>
    <w:r>
      <w:rPr>
        <w:rStyle w:val="PageNumber"/>
        <w:szCs w:val="20"/>
        <w:rFonts w:cs="Arial Narrow" w:ascii="Arial Narrow" w:hAnsi="Arial Narrow"/>
      </w:rPr>
      <w:t>10</w:t>
    </w:r>
    <w:r>
      <w:rPr>
        <w:rStyle w:val="PageNumber"/>
        <w:szCs w:val="20"/>
        <w:rFonts w:cs="Arial Narrow" w:ascii="Arial Narrow" w:hAnsi="Arial Narrow"/>
      </w:rPr>
      <w:fldChar w:fldCharType="end"/>
    </w:r>
  </w:p>
  <w:p>
    <w:pPr>
      <w:pStyle w:val="Normal"/>
      <w:rPr>
        <w:rStyle w:val="PageNumber"/>
        <w:rFonts w:ascii="Arial Narrow" w:hAnsi="Arial Narrow" w:cs="Arial Narrow"/>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615"/>
        </w:tabs>
        <w:ind w:start="615" w:hanging="360"/>
      </w:pPr>
      <w:rPr/>
    </w:lvl>
  </w:abstractNum>
  <w:abstractNum w:abstractNumId="3">
    <w:lvl w:ilvl="0">
      <w:start w:val="1"/>
      <w:numFmt w:val="lowerLetter"/>
      <w:lvlText w:val="(%1)"/>
      <w:lvlJc w:val="start"/>
      <w:pPr>
        <w:tabs>
          <w:tab w:val="num" w:pos="720"/>
        </w:tabs>
        <w:ind w:start="720" w:hanging="360"/>
      </w:pPr>
      <w:rPr>
        <w:color w:val="000000"/>
      </w:rPr>
    </w:lvl>
  </w:abstractNum>
  <w:abstractNum w:abstractNumId="4">
    <w:lvl w:ilvl="0">
      <w:start w:val="2"/>
      <w:numFmt w:val="decimal"/>
      <w:lvlText w:val="%1."/>
      <w:lvlJc w:val="start"/>
      <w:pPr>
        <w:tabs>
          <w:tab w:val="num" w:pos="180"/>
        </w:tabs>
        <w:ind w:start="1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690" w:leader="none"/>
        <w:tab w:val="left" w:pos="1440" w:leader="none"/>
        <w:tab w:val="left" w:pos="2160" w:leader="none"/>
        <w:tab w:val="left" w:pos="5280" w:leader="none"/>
        <w:tab w:val="left" w:pos="5472" w:leader="none"/>
        <w:tab w:val="left" w:pos="6480" w:leader="none"/>
      </w:tabs>
      <w:ind w:hanging="0" w:start="0" w:end="-900"/>
      <w:jc w:val="center"/>
      <w:outlineLvl w:val="0"/>
    </w:pPr>
    <w:rPr>
      <w:rFonts w:ascii="Arial Narrow" w:hAnsi="Arial Narrow" w:cs="Arial Narrow"/>
      <w:b/>
      <w:bCs/>
    </w:rPr>
  </w:style>
  <w:style w:type="character" w:styleId="WW8Num1z0">
    <w:name w:val="WW8Num1z0"/>
    <w:qFormat/>
    <w:rPr/>
  </w:style>
  <w:style w:type="character" w:styleId="WW8Num2z0">
    <w:name w:val="WW8Num2z0"/>
    <w:qFormat/>
    <w:rPr>
      <w:rFonts w:ascii="Arial Narrow" w:hAnsi="Arial Narrow" w:cs="Arial Narrow"/>
      <w:b w:val="false"/>
      <w:i w:val="false"/>
      <w:sz w:val="24"/>
      <w:u w:val="none"/>
    </w:rPr>
  </w:style>
  <w:style w:type="character" w:styleId="WW8Num3z0">
    <w:name w:val="WW8Num3z0"/>
    <w:qFormat/>
    <w:rPr>
      <w:color w:val="000000"/>
    </w:rPr>
  </w:style>
  <w:style w:type="character" w:styleId="WW8Num4z0">
    <w:name w:val="WW8Num4z0"/>
    <w:qFormat/>
    <w:rPr/>
  </w:style>
  <w:style w:type="character" w:styleId="WW8NumSt2z0">
    <w:name w:val="WW8NumSt2z0"/>
    <w:qFormat/>
    <w:rPr>
      <w:rFonts w:ascii="Arial Narrow" w:hAnsi="Arial Narrow" w:cs="Arial Narrow"/>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0"/>
      <w:jc w:val="both"/>
    </w:pPr>
    <w:rPr>
      <w:rFonts w:ascii="Arial Narrow" w:hAnsi="Arial Narrow" w:cs="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rFonts w:ascii="Arial Narrow" w:hAnsi="Arial Narrow" w:cs="Arial Narr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Courier" w:hAnsi="Courier" w:cs="Courier"/>
      <w:sz w:val="26"/>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Courier" w:hAnsi="Courier" w:cs="Courier"/>
      <w:sz w:val="26"/>
      <w:szCs w:val="20"/>
    </w:rPr>
  </w:style>
  <w:style w:type="paragraph" w:styleId="BodyText2">
    <w:name w:val="Body Text 2"/>
    <w:basedOn w:val="Normal"/>
    <w:qFormat/>
    <w:pPr>
      <w:tabs>
        <w:tab w:val="clear" w:pos="720"/>
        <w:tab w:val="left" w:pos="792" w:leader="none"/>
      </w:tabs>
      <w:jc w:val="both"/>
    </w:pPr>
    <w:rPr>
      <w:rFonts w:ascii="Arial Narrow" w:hAnsi="Arial Narrow" w:cs="Arial Narrow"/>
    </w:rPr>
  </w:style>
  <w:style w:type="paragraph" w:styleId="BodyTextIndent2">
    <w:name w:val="Body Text Indent 2"/>
    <w:basedOn w:val="Normal"/>
    <w:qFormat/>
    <w:pPr>
      <w:tabs>
        <w:tab w:val="clear" w:pos="720"/>
        <w:tab w:val="left" w:pos="612" w:leader="none"/>
      </w:tabs>
      <w:ind w:hanging="252" w:start="252" w:end="0"/>
      <w:jc w:val="both"/>
    </w:pPr>
    <w:rPr>
      <w:rFonts w:ascii="Arial Narrow" w:hAnsi="Arial Narrow" w:cs="Arial Narro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2000-09-15T13:26:00Z</dcterms:created>
  <dc:creator>dhyvl</dc:creator>
  <dc:description/>
  <dc:language>en-CA</dc:language>
  <cp:lastModifiedBy>dhyvl</cp:lastModifiedBy>
  <cp:lastPrinted>2000-12-01T13:46:00Z</cp:lastPrinted>
  <dcterms:modified xsi:type="dcterms:W3CDTF">2000-12-13T17:10:00Z</dcterms:modified>
  <cp:revision>38</cp:revision>
  <dc:subject/>
  <dc:title>September 16, 1997</dc:title>
</cp:coreProperties>
</file>