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October 13,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regarding the purchase and sale of Gas on the following terms.  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rFonts w:cs="Arial" w:ascii="Arial" w:hAnsi="Arial"/>
          <w:sz w:val="22"/>
        </w:rPr>
        <w:t xml:space="preserve">).  Transaction No. </w:t>
      </w:r>
      <w:r>
        <w:rPr>
          <w:rFonts w:cs="Arial" w:ascii="Arial" w:hAnsi="Arial"/>
          <w:sz w:val="22"/>
          <w:u w:val="single"/>
        </w:rPr>
        <w:t>BDKW10off-peak</w:t>
      </w:r>
      <w:r>
        <w:rPr>
          <w:rFonts w:cs="Arial" w:ascii="Arial" w:hAnsi="Arial"/>
          <w:sz w:val="22"/>
        </w:rPr>
        <w:t>.</w:t>
      </w:r>
    </w:p>
    <w:p>
      <w:pPr>
        <w:pStyle w:val="Normal"/>
        <w:spacing w:before="0" w:after="120"/>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1a)  ________ MMBtu/day for each weekend day and/or holiday during the period October __, 2000 through October 20, 2000. </w:t>
            </w:r>
          </w:p>
          <w:p>
            <w:pPr>
              <w:pStyle w:val="Normal"/>
              <w:jc w:val="both"/>
              <w:rPr>
                <w:rFonts w:ascii="Arial" w:hAnsi="Arial" w:cs="Arial"/>
                <w:sz w:val="22"/>
              </w:rPr>
            </w:pPr>
            <w:r>
              <w:rPr>
                <w:rFonts w:cs="Arial" w:ascii="Arial" w:hAnsi="Arial"/>
                <w:sz w:val="22"/>
              </w:rPr>
              <w:t xml:space="preserve">1b)  ________ MMBtu/day for each weekday during the period October __, 2000 through October 20, 2000. </w:t>
            </w:r>
          </w:p>
          <w:p>
            <w:pPr>
              <w:pStyle w:val="Normal"/>
              <w:jc w:val="both"/>
              <w:rPr>
                <w:rFonts w:ascii="Arial" w:hAnsi="Arial" w:cs="Arial"/>
                <w:sz w:val="22"/>
              </w:rPr>
            </w:pPr>
            <w:r>
              <w:rPr>
                <w:rFonts w:cs="Arial" w:ascii="Arial" w:hAnsi="Arial"/>
                <w:sz w:val="22"/>
              </w:rPr>
              <w:t>2a)  ________ MMBtu/day for each weekend day and/or holiday during the period October 21, 2000 through October 31, 2000.</w:t>
            </w:r>
          </w:p>
          <w:p>
            <w:pPr>
              <w:pStyle w:val="Normal"/>
              <w:jc w:val="both"/>
              <w:rPr>
                <w:rFonts w:ascii="Arial" w:hAnsi="Arial" w:cs="Arial"/>
                <w:sz w:val="22"/>
              </w:rPr>
            </w:pPr>
            <w:r>
              <w:rPr>
                <w:rFonts w:cs="Arial" w:ascii="Arial" w:hAnsi="Arial"/>
                <w:sz w:val="22"/>
              </w:rPr>
              <w:t>2b)  ________ MMBtu/day for each weekday during the period October 21,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(_______ MMBtu/day for each weekend day and/or holiday and _______ MMBtu/day for each weekday for the period October ___, 2000 through October 20, 2000) and ANR OK Headstation (________MMBtu/day for each weekend day and/or holiday and _______ MMBtu/day for each weekday for the period October ___, 2000 through October 20, 2000 and _______ MMBtu/day for each weekend day and/or holiday and _______ MMBtu/day for each weekday for the period October 21,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October ____,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BodyText"/>
              <w:rPr/>
            </w:pPr>
            <w:r>
              <w:rPr/>
              <w:t>Value/Volume, where the Volume is equal to the sum of [(a) (_________MMBtu/day for each weekend day and/or holiday) X # of such days in Period of Delivery from October __, 2000 through October 20, 2000; and (b) (_______ MMBtu/day) X # of weekdays in Period of Delivery from October __, 2000 through October 20, 2000; and (c) (________MMBtu/day for each weekend day and/or holiday) X # of such days in Period of Delivery from October 21, 2000 through October 31, 2000, and (d) (________ MMBtu/day) X # of weekdays in Period of Delivery from October 21, 2000 through October 31, 2000], and the Value is equal to the sum of Part (a) and Part (b):</w:t>
            </w:r>
          </w:p>
          <w:p>
            <w:pPr>
              <w:pStyle w:val="Normal"/>
              <w:ind w:hanging="972" w:start="972" w:end="0"/>
              <w:jc w:val="both"/>
              <w:rPr>
                <w:rFonts w:ascii="Arial" w:hAnsi="Arial" w:cs="Arial"/>
                <w:sz w:val="22"/>
              </w:rPr>
            </w:pPr>
            <w:r>
              <w:rPr>
                <w:rFonts w:cs="Arial" w:ascii="Arial" w:hAnsi="Arial"/>
                <w:sz w:val="22"/>
              </w:rPr>
              <w:t>Part (a):</w:t>
              <w:tab/>
              <w:t>The value obtained by the formula</w:t>
            </w:r>
          </w:p>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[(A  X B) + (C X D) + E].</w:t>
            </w:r>
          </w:p>
          <w:p>
            <w:pPr>
              <w:pStyle w:val="Normal"/>
              <w:ind w:hanging="972" w:start="972" w:end="0"/>
              <w:jc w:val="both"/>
              <w:rPr/>
            </w:pPr>
            <w:r>
              <w:rPr>
                <w:rFonts w:cs="Arial" w:ascii="Arial" w:hAnsi="Arial"/>
                <w:sz w:val="22"/>
              </w:rPr>
              <w:t>Part (b):</w:t>
              <w:tab/>
              <w:t xml:space="preserve">The value, if positive, obtained by the formula [50% X (F minus the sum of G plus the value obtained in Part (a) above)]; provided, however, if the value obtained by the such formula is negative, such value shall be carried forward to Transaction No. </w:t>
            </w:r>
            <w:r>
              <w:rPr>
                <w:rFonts w:cs="Arial" w:ascii="Arial" w:hAnsi="Arial"/>
                <w:sz w:val="22"/>
                <w:u w:val="single"/>
              </w:rPr>
              <w:t>BDKW12off-peak</w:t>
            </w:r>
            <w:r>
              <w:rPr>
                <w:rFonts w:cs="Arial" w:ascii="Arial" w:hAnsi="Arial"/>
                <w:sz w:val="22"/>
              </w:rPr>
              <w:t>.</w:t>
            </w:r>
          </w:p>
          <w:p>
            <w:pPr>
              <w:pStyle w:val="Normal"/>
              <w:tabs>
                <w:tab w:val="clear" w:pos="720"/>
                <w:tab w:val="left" w:pos="972" w:leader="none"/>
              </w:tabs>
              <w:ind w:hanging="972" w:start="972" w:end="0"/>
              <w:jc w:val="both"/>
              <w:rPr>
                <w:rFonts w:ascii="Arial" w:hAnsi="Arial" w:cs="Arial"/>
                <w:color w:val="FF0000"/>
                <w:sz w:val="22"/>
              </w:rPr>
            </w:pPr>
            <w:r>
              <w:rPr>
                <w:rFonts w:cs="Arial" w:ascii="Arial" w:hAnsi="Arial"/>
                <w:color w:val="FF0000"/>
                <w:sz w:val="22"/>
              </w:rPr>
            </w:r>
          </w:p>
        </w:tc>
      </w:tr>
      <w:tr>
        <w:trPr/>
        <w:tc>
          <w:tcPr>
            <w:tcW w:w="4428" w:type="dxa"/>
            <w:tcBorders/>
          </w:tcPr>
          <w:p>
            <w:pPr>
              <w:pStyle w:val="Normal"/>
              <w:snapToGrid w:val="false"/>
              <w:spacing w:before="240" w:after="0"/>
              <w:jc w:val="both"/>
              <w:rPr>
                <w:rFonts w:ascii="Arial" w:hAnsi="Arial" w:cs="Arial"/>
                <w:color w:val="FF0000"/>
                <w:sz w:val="22"/>
              </w:rPr>
            </w:pPr>
            <w:r>
              <w:rPr>
                <w:rFonts w:cs="Arial" w:ascii="Arial" w:hAnsi="Arial"/>
                <w:color w:val="FF0000"/>
                <w:sz w:val="22"/>
              </w:rPr>
            </w:r>
          </w:p>
        </w:tc>
        <w:tc>
          <w:tcPr>
            <w:tcW w:w="6588" w:type="dxa"/>
            <w:tcBorders/>
          </w:tcPr>
          <w:p>
            <w:pPr>
              <w:pStyle w:val="Normal"/>
              <w:numPr>
                <w:ilvl w:val="0"/>
                <w:numId w:val="3"/>
              </w:numPr>
              <w:jc w:val="both"/>
              <w:rPr>
                <w:rFonts w:ascii="Arial" w:hAnsi="Arial" w:cs="Arial"/>
                <w:sz w:val="22"/>
              </w:rPr>
            </w:pPr>
            <w:r>
              <w:rPr>
                <w:rFonts w:cs="Arial" w:ascii="Arial" w:hAnsi="Arial"/>
                <w:sz w:val="22"/>
              </w:rPr>
              <w:t>Decrease in MWhs delivered to NY ISO due to shutdown of  (i) (____ MW) X (24 hrs/day) X (# of holidays and weekend days in Period of Delivery from October __, 2000 through October 20, 2000) plus (ii) (____ MW) X 8 hrs/day) X (# of weekdays in the Period of Delivery from October __, 2000 through October 20, 2000).</w:t>
            </w:r>
          </w:p>
          <w:p>
            <w:pPr>
              <w:pStyle w:val="Normal"/>
              <w:numPr>
                <w:ilvl w:val="0"/>
                <w:numId w:val="3"/>
              </w:numPr>
              <w:jc w:val="both"/>
              <w:rPr>
                <w:rFonts w:ascii="Arial" w:hAnsi="Arial" w:cs="Arial"/>
                <w:sz w:val="22"/>
              </w:rPr>
            </w:pPr>
            <w:r>
              <w:rPr>
                <w:rFonts w:cs="Arial" w:ascii="Arial" w:hAnsi="Arial"/>
                <w:sz w:val="22"/>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2"/>
              </w:rPr>
            </w:pPr>
            <w:r>
              <w:rPr>
                <w:rFonts w:cs="Arial" w:ascii="Arial" w:hAnsi="Arial"/>
                <w:sz w:val="22"/>
              </w:rPr>
              <w:t>Decrease in MWhs delivered to NY ISO due to shutdown of  (i) (____ MW) X (24 hrs/day) X (# of holidays and weekend days in Period of Delivery from October 21, 2000 through October 31, 2000) plus (ii) (____ MW) X (8 hrs/day) X (# of weekdays in the Period of Delivery from October 21, 2000 through October 31, 2000).</w:t>
            </w:r>
          </w:p>
          <w:p>
            <w:pPr>
              <w:pStyle w:val="Normal"/>
              <w:numPr>
                <w:ilvl w:val="0"/>
                <w:numId w:val="3"/>
              </w:numPr>
              <w:jc w:val="both"/>
              <w:rPr>
                <w:rFonts w:ascii="Arial" w:hAnsi="Arial" w:cs="Arial"/>
                <w:sz w:val="22"/>
              </w:rPr>
            </w:pPr>
            <w:r>
              <w:rPr>
                <w:rFonts w:cs="Arial" w:ascii="Arial" w:hAnsi="Arial"/>
                <w:sz w:val="22"/>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2"/>
              </w:rPr>
            </w:pPr>
            <w:r>
              <w:rPr>
                <w:rFonts w:cs="Arial" w:ascii="Arial" w:hAnsi="Arial"/>
                <w:sz w:val="22"/>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2"/>
              </w:rPr>
            </w:pPr>
            <w:r>
              <w:rPr>
                <w:rFonts w:cs="Arial" w:ascii="Arial" w:hAnsi="Arial"/>
                <w:sz w:val="22"/>
              </w:rPr>
              <w:t>The sum of (a) $_____ per MMBtu X ________ MMBtu/day for each weekend day and/or holiday X # of such days in the period October __, 2000 through October 20, 2000, (b)  $_____ per MMBtu X ________ MMBtu/day X # of weekdays in the period October __, 2000 through October 20, 2000, (c) $_____ per MMBtu X ________ MMBtu/day for each weekend day and/or holiday X # of such days in the period October 21, 2000 through October 31, 2000, and (d)  $_____ per MMBtu X ________ MMBtu/day X # of weekdays in the period October 21, 2000 through October 31, 2000.</w:t>
            </w:r>
          </w:p>
          <w:p>
            <w:pPr>
              <w:pStyle w:val="Normal"/>
              <w:ind w:hanging="432" w:start="432" w:end="0"/>
              <w:jc w:val="both"/>
              <w:rPr>
                <w:rFonts w:ascii="Arial" w:hAnsi="Arial" w:cs="Arial"/>
                <w:b/>
                <w:bCs/>
                <w:sz w:val="22"/>
              </w:rPr>
            </w:pPr>
            <w:r>
              <w:rPr>
                <w:rFonts w:cs="Arial" w:ascii="Arial" w:hAnsi="Arial"/>
                <w:b/>
                <w:bCs/>
                <w:sz w:val="22"/>
              </w:rPr>
              <w:t>G.</w:t>
              <w:tab/>
            </w:r>
            <w:r>
              <w:rPr>
                <w:rFonts w:cs="Arial" w:ascii="Arial" w:hAnsi="Arial"/>
                <w:sz w:val="22"/>
              </w:rPr>
              <w:t>Any balancing charges and taxes associated with leveling the daily volumes available for sale, or the uneven on-peak and off-peak hourly volumes within the day relating to this transaction that may be incurred by Company.</w:t>
            </w:r>
          </w:p>
        </w:tc>
      </w:tr>
      <w:tr>
        <w:trPr/>
        <w:tc>
          <w:tcPr>
            <w:tcW w:w="4428" w:type="dxa"/>
            <w:tcBorders/>
          </w:tcPr>
          <w:p>
            <w:pPr>
              <w:pStyle w:val="Normal"/>
              <w:snapToGrid w:val="false"/>
              <w:jc w:val="both"/>
              <w:rPr>
                <w:rFonts w:ascii="Arial" w:hAnsi="Arial" w:cs="Arial"/>
                <w:b/>
                <w:bCs/>
                <w:sz w:val="22"/>
              </w:rPr>
            </w:pPr>
            <w:r>
              <w:rPr>
                <w:rFonts w:cs="Arial" w:ascii="Arial" w:hAnsi="Arial"/>
                <w:b/>
                <w:bCs/>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numPr>
                <w:ilvl w:val="0"/>
                <w:numId w:val="2"/>
              </w:numPr>
              <w:tabs>
                <w:tab w:val="clear" w:pos="720"/>
                <w:tab w:val="left" w:pos="0" w:leader="none"/>
              </w:tabs>
              <w:ind w:hanging="432" w:start="432" w:end="0"/>
              <w:jc w:val="both"/>
              <w:rPr>
                <w:rFonts w:ascii="Arial" w:hAnsi="Arial" w:cs="Arial"/>
                <w:sz w:val="22"/>
              </w:rPr>
            </w:pPr>
            <w:r>
              <w:rPr>
                <w:rFonts w:cs="Arial" w:ascii="Arial" w:hAnsi="Arial"/>
                <w:sz w:val="22"/>
              </w:rPr>
              <w:t>The term “weekday” as used herein shall mean a Day on which Federal Reserve member banks in New York City are open for business, and the term “weekend day and/or holiday” shall mean a Day on which such Federal Reserve member banks in New York City are not open for business.</w:t>
            </w:r>
          </w:p>
          <w:p>
            <w:pPr>
              <w:pStyle w:val="Normal"/>
              <w:tabs>
                <w:tab w:val="clear" w:pos="720"/>
                <w:tab w:val="left" w:pos="432" w:leader="none"/>
              </w:tabs>
              <w:ind w:hanging="360" w:start="432" w:end="0"/>
              <w:jc w:val="both"/>
              <w:rPr/>
            </w:pPr>
            <w:r>
              <w:rPr>
                <w:rFonts w:cs="Arial" w:ascii="Arial" w:hAnsi="Arial"/>
                <w:sz w:val="22"/>
              </w:rPr>
              <w:t>2.</w:t>
              <w:tab/>
              <w:t>On or before the 10</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submit an invoice, with relevant backup, to Company for amounts due hereunder for the preceding calendar month.  Company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w:t>
            </w:r>
          </w:p>
          <w:p>
            <w:pPr>
              <w:pStyle w:val="Normal"/>
              <w:tabs>
                <w:tab w:val="clear" w:pos="720"/>
                <w:tab w:val="left" w:pos="0" w:leader="none"/>
              </w:tabs>
              <w:jc w:val="both"/>
              <w:rPr>
                <w:rFonts w:ascii="Arial" w:hAnsi="Arial" w:cs="Arial"/>
                <w:sz w:val="22"/>
              </w:rPr>
            </w:pPr>
            <w:r>
              <w:rPr>
                <w:rFonts w:cs="Arial" w:ascii="Arial" w:hAnsi="Arial"/>
                <w:sz w:val="22"/>
              </w:rPr>
            </w:r>
          </w:p>
        </w:tc>
      </w:tr>
    </w:tbl>
    <w:p>
      <w:pPr>
        <w:pStyle w:val="Normal"/>
        <w:tabs>
          <w:tab w:val="clear" w:pos="720"/>
          <w:tab w:val="left" w:pos="10800" w:leader="none"/>
        </w:tabs>
        <w:jc w:val="both"/>
        <w:rPr/>
      </w:pPr>
      <w:r>
        <w:rPr>
          <w:rFonts w:cs="Arial" w:ascii="Arial" w:hAnsi="Arial"/>
          <w:iCs/>
          <w:sz w:val="22"/>
        </w:rPr>
        <w:t xml:space="preserve">Customer and Company acknowledge and agree that to the extent that the terms of this Transaction are inconsistent with the terms of the </w:t>
      </w:r>
      <w:r>
        <w:rPr>
          <w:rFonts w:cs="Arial" w:ascii="Arial" w:hAnsi="Arial"/>
          <w:sz w:val="22"/>
        </w:rPr>
        <w:t xml:space="preserve">ENFOLIO® MASTER "Spot" PURCHASE/SALE AGREEMENT, the terms of this Transaction shall control.  Customer and Company further acknowledge and agree that the following provisions of the ENFOLIO® MASTER "Spot" PURCHASE/SALE AGREEMENT shall not apply to the transactions contemplated above: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applicablility of interest on late payments.</w:t>
      </w:r>
    </w:p>
    <w:p>
      <w:pPr>
        <w:pStyle w:val="BodyText"/>
        <w:spacing w:before="120" w:after="120"/>
        <w:rPr/>
      </w:pPr>
      <w:r>
        <w:rPr/>
        <w:t>This Enfolio Confirmation is being provided pursuant to and in accordance with the ENFOLIO</w:t>
      </w:r>
      <w:r>
        <w:rPr>
          <w:rFonts w:cs="Arial"/>
        </w:rPr>
        <w:t>®</w:t>
      </w:r>
      <w:r>
        <w:rPr/>
        <w:t xml:space="preserve">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2"/>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pPr>
      <w:r>
        <w:rPr/>
      </w:r>
    </w:p>
    <w:sectPr>
      <w:headerReference w:type="default" r:id="rId3"/>
      <w:headerReference w:type="first" r:id="rId4"/>
      <w:footerReference w:type="default" r:id="rId5"/>
      <w:footerReference w:type="first" r:id="rId6"/>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/mnt/main-storage/datasets/enron-docs/doc/2000_66offcrfm.doc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/mnt/main-storage/datasets/enron-docs/doc/2000_66offcrfm.doc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October 13,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color w:val="auto"/>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2000-10-05T11:41:00Z</dcterms:created>
  <dc:creator>dhyvl</dc:creator>
  <dc:description/>
  <dc:language>en-CA</dc:language>
  <cp:lastModifiedBy>dhyvl</cp:lastModifiedBy>
  <cp:lastPrinted>2000-10-05T10:01:00Z</cp:lastPrinted>
  <dcterms:modified xsi:type="dcterms:W3CDTF">2000-10-12T18:02:00Z</dcterms:modified>
  <cp:revision>11</cp:revision>
  <dc:subject/>
  <dc:title>September 16, 2000</dc:title>
</cp:coreProperties>
</file>