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26,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106,000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(79,000 MMBtu/day) and ANR OK Headstation (27,000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September 28, 2000 through September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 its affiliates but for this transaction and other reasonable transaction costs incurred by Customer and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$________ per MMBtu X 106,000 MMBtu/day X # of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tabs>
                <w:tab w:val="clear" w:pos="720"/>
                <w:tab w:val="left" w:pos="0" w:leader="none"/>
              </w:tabs>
              <w:jc w:val="both"/>
              <w:rPr/>
            </w:pP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September 28, 2000 through September 30,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/mnt/main-storage/datasets/enron-docs/doc/2000_65crfm.doc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/mnt/main-storage/datasets/enron-docs/doc/2000_65crfm.doc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26,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2000-09-25T12:41:00Z</dcterms:created>
  <dc:creator>dhyvl</dc:creator>
  <dc:description/>
  <dc:language>en-CA</dc:language>
  <cp:lastModifiedBy>dhyvl</cp:lastModifiedBy>
  <cp:lastPrinted>2000-09-25T11:26:00Z</cp:lastPrinted>
  <dcterms:modified xsi:type="dcterms:W3CDTF">2000-09-26T13:50:00Z</dcterms:modified>
  <cp:revision>4</cp:revision>
  <dc:subject/>
  <dc:title>September 16, 2000</dc:title>
</cp:coreProperties>
</file>