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September 26, 2000 (Revised November 13,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Reliant Energy Services, Inc.</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1111 Louisiana Street, Suite 9</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Houston, Texas 77002</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agreement reached July 5, 2000 between Reliant Energy Services, Inc., as "</w:t>
      </w:r>
      <w:r>
        <w:rPr>
          <w:rFonts w:cs="Arial Narrow" w:ascii="Arial Narrow" w:hAnsi="Arial Narrow"/>
          <w:sz w:val="22"/>
          <w:u w:val="single"/>
        </w:rPr>
        <w:t>Customer</w:t>
      </w:r>
      <w:r>
        <w:rPr>
          <w:rFonts w:cs="Arial Narrow" w:ascii="Arial Narrow" w:hAnsi="Arial Narrow"/>
          <w:sz w:val="22"/>
        </w:rPr>
        <w:t>", and Enovate,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5,000 MMBtu per Day.  The DCQ will be grossed-up to account for fuel on Trunkline Gas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Trunkline Gas Company’s South Texas Pool.</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December 1, 2000 through April 30, 2003, Winter Months Only.  The Winter Months shall be November, December, January, February, March and April. .</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During the Winter Months (November 1 – April 30): - </w:t>
      </w:r>
      <w:r>
        <w:rPr>
          <w:rFonts w:cs="Arial Narrow" w:ascii="Arial Narrow" w:hAnsi="Arial Narrow"/>
          <w:bCs/>
          <w:sz w:val="22"/>
        </w:rPr>
        <w:t xml:space="preserve">The </w:t>
      </w:r>
      <w:r>
        <w:rPr>
          <w:rFonts w:cs="Arial Narrow" w:ascii="Arial Narrow" w:hAnsi="Arial Narrow"/>
          <w:sz w:val="22"/>
        </w:rPr>
        <w:t>Contract Price shall be the "Spot Price (Midpoint)" set forth in Gas Daily® (Financial Times Energy), or successor publication, in the column "Daily Price Survey" under South – Corpus Christi for Trunkline South as reported for the Gas Day of flow plus $0.015 per MMBtu; provided, if there is no price or range of prices published for such Gas Day, then the Spot Price (Midpoint) shall be deemed to be the midpoint price for the next Gas Day for which a Spot Price (Midpoint) can be determined in accordance herewith.</w:t>
      </w:r>
    </w:p>
    <w:p>
      <w:pPr>
        <w:pStyle w:val="Normal"/>
        <w:tabs>
          <w:tab w:val="clear" w:pos="720"/>
          <w:tab w:val="left" w:pos="0" w:leader="none"/>
        </w:tabs>
        <w:ind w:hanging="2880" w:start="2880" w:end="0"/>
        <w:jc w:val="both"/>
        <w:rPr>
          <w:rFonts w:ascii="Arial Narrow" w:hAnsi="Arial Narrow" w:cs="Arial Narrow"/>
          <w:sz w:val="22"/>
        </w:rPr>
      </w:pPr>
      <w:r>
        <w:rPr>
          <w:rFonts w:cs="Arial Narrow" w:ascii="Arial Narrow" w:hAnsi="Arial Narrow"/>
          <w:b/>
          <w:sz w:val="22"/>
        </w:rPr>
        <w:tab/>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SPOT PRICE LOCATION:</w:t>
        <w:tab/>
      </w:r>
      <w:r>
        <w:rPr>
          <w:rFonts w:cs="Arial Narrow" w:ascii="Arial Narrow" w:hAnsi="Arial Narrow"/>
          <w:bCs/>
          <w:sz w:val="22"/>
        </w:rPr>
        <w:t>Trunkline South -–- South – Corpus Christi</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bCs/>
        </w:rPr>
        <w:t>N/A</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  </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RELIANT ENERGY SERVICES, INC.</w:t>
        <w:tab/>
        <w:tab/>
        <w:tab/>
        <w:tab/>
        <w:t>ENOVATE,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/mnt/main-storage/datasets/enron-docs/doc/2000_51acrfm-48bc4bc32e4daa5633104cf2c5fbc44d1a915fea0dc74c5bf668ec3437c10a2a.doc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/mnt/main-storage/datasets/enron-docs/doc/2000_51acrfm-48bc4bc32e4daa5633104cf2c5fbc44d1a915fea0dc74c5bf668ec3437c10a2a.doc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Reliant Energy _________</w:t>
    </w:r>
  </w:p>
  <w:p>
    <w:pPr>
      <w:pStyle w:val="Header"/>
      <w:rPr>
        <w:rFonts w:ascii="Arial Narrow" w:hAnsi="Arial Narrow" w:cs="Arial Narrow"/>
        <w:sz w:val="22"/>
      </w:rPr>
    </w:pPr>
    <w:r>
      <w:rPr>
        <w:rFonts w:cs="Arial Narrow" w:ascii="Arial Narrow" w:hAnsi="Arial Narrow"/>
        <w:sz w:val="22"/>
      </w:rPr>
      <w:t>September 26,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2000-09-26T18:32:00Z</dcterms:created>
  <dc:creator>dhyvl</dc:creator>
  <dc:description/>
  <dc:language>en-CA</dc:language>
  <cp:lastModifiedBy>dhyvl</cp:lastModifiedBy>
  <cp:lastPrinted>2000-11-13T14:43:00Z</cp:lastPrinted>
  <dcterms:modified xsi:type="dcterms:W3CDTF">2000-11-13T18:13:00Z</dcterms:modified>
  <cp:revision>6</cp:revision>
  <dc:subject/>
  <dc:title>July 14, 2000</dc:title>
</cp:coreProperties>
</file>