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ab/>
        <w:tab/>
        <w:tab/>
        <w:tab/>
        <w:tab/>
        <w:tab/>
        <w:t>June 27, 2000</w:t>
      </w:r>
    </w:p>
    <w:p>
      <w:pPr>
        <w:pStyle w:val="Normal"/>
        <w:jc w:val="both"/>
        <w:rPr/>
      </w:pPr>
      <w:r>
        <w:rPr/>
        <w:t>Shell Oil Company</w:t>
      </w:r>
    </w:p>
    <w:p>
      <w:pPr>
        <w:pStyle w:val="Normal"/>
        <w:jc w:val="both"/>
        <w:rPr/>
      </w:pPr>
      <w:r>
        <w:rPr/>
        <w:t>Attn:  Manager, Utilities &amp; Utilities Planning</w:t>
      </w:r>
    </w:p>
    <w:p>
      <w:pPr>
        <w:pStyle w:val="Normal"/>
        <w:jc w:val="both"/>
        <w:rPr/>
      </w:pPr>
      <w:r>
        <w:rPr/>
        <w:t>P. O. Box 2463</w:t>
      </w:r>
    </w:p>
    <w:p>
      <w:pPr>
        <w:pStyle w:val="Normal"/>
        <w:jc w:val="both"/>
        <w:rPr/>
      </w:pPr>
      <w:r>
        <w:rPr/>
        <w:t>Houston, Texas 77252-2463</w:t>
      </w:r>
    </w:p>
    <w:p>
      <w:pPr>
        <w:pStyle w:val="Normal"/>
        <w:jc w:val="both"/>
        <w:rPr/>
      </w:pPr>
      <w:r>
        <w:rPr/>
        <w:tab/>
        <w:tab/>
        <w:tab/>
        <w:tab/>
        <w:tab/>
        <w:t>TRANSACTION AGREEMENT</w:t>
      </w:r>
    </w:p>
    <w:p>
      <w:pPr>
        <w:pStyle w:val="Normal"/>
        <w:jc w:val="both"/>
        <w:rPr/>
      </w:pPr>
      <w:r>
        <w:rPr/>
        <w:t>Gentlemen:</w:t>
      </w:r>
    </w:p>
    <w:p>
      <w:pPr>
        <w:pStyle w:val="Normal"/>
        <w:jc w:val="both"/>
        <w:rPr>
          <w:u w:val="single"/>
        </w:rPr>
      </w:pPr>
      <w:r>
        <w:rPr>
          <w:u w:val="single"/>
        </w:rPr>
      </w:r>
    </w:p>
    <w:p>
      <w:pPr>
        <w:pStyle w:val="Normal"/>
        <w:jc w:val="both"/>
        <w:rPr/>
      </w:pPr>
      <w:r>
        <w:rPr/>
        <w:tab/>
        <w:t>This Transaction Agreement shall form and effectuate the current proposal between Shell Oil Company ("</w:t>
      </w:r>
      <w:r>
        <w:rPr>
          <w:u w:val="single"/>
        </w:rPr>
        <w:t>Customer</w:t>
      </w:r>
      <w:r>
        <w:rPr/>
        <w:t>") and Houston Pipe Line Company ("</w:t>
      </w:r>
      <w:r>
        <w:rPr>
          <w:u w:val="single"/>
        </w:rPr>
        <w:t>Company</w:t>
      </w:r>
      <w:r>
        <w:rPr/>
        <w:t>") regarding the firm purchase and sale of Gas under the following  terms and conditions.  Customer to purchase and receive (Buyer) and Company to sell and deliver (Seller).  Transaction number 4.</w:t>
      </w:r>
    </w:p>
    <w:p>
      <w:pPr>
        <w:pStyle w:val="Normal"/>
        <w:jc w:val="both"/>
        <w:rPr/>
      </w:pPr>
      <w:r>
        <w:rPr/>
      </w:r>
    </w:p>
    <w:p>
      <w:pPr>
        <w:pStyle w:val="BodyTextIndent"/>
        <w:rPr/>
      </w:pPr>
      <w:r>
        <w:rPr/>
        <w:t>DAILY CONTRACT QUANTITY (DCQ):</w:t>
        <w:tab/>
        <w:t>The first-of-the-month volume nominated by Buyer not less than 3 Business Days prior to the beginning of the month, which volume shall be in excess of the MinDQ and shall not exceed 110,000 MMBtu/day; provided Buyer must Schedule an average of 90,000 MMBtu per day for the Period of Delivery.</w:t>
      </w:r>
    </w:p>
    <w:p>
      <w:pPr>
        <w:pStyle w:val="BodyTextIndent"/>
        <w:tabs>
          <w:tab w:val="clear" w:pos="3600"/>
        </w:tabs>
        <w:rPr>
          <w:u w:val="single"/>
        </w:rPr>
      </w:pPr>
      <w:r>
        <w:rPr/>
        <w:t>MAXDQ (if applicable):</w:t>
        <w:tab/>
        <w:t>160,000 MMBtu/day; provided the MaxDQ shall be 120,000 MMBtu/day during the period July 1, 2000 through July 31, 2000.</w:t>
      </w:r>
    </w:p>
    <w:p>
      <w:pPr>
        <w:pStyle w:val="Normal"/>
        <w:ind w:hanging="3600" w:start="3600" w:end="0"/>
        <w:jc w:val="both"/>
        <w:rPr/>
      </w:pPr>
      <w:r>
        <w:rPr/>
        <w:t>MINMQ (if applicable):</w:t>
        <w:tab/>
        <w:t>N/A</w:t>
      </w:r>
    </w:p>
    <w:p>
      <w:pPr>
        <w:pStyle w:val="BodyTextIndent"/>
        <w:tabs>
          <w:tab w:val="clear" w:pos="3600"/>
        </w:tabs>
        <w:rPr/>
      </w:pPr>
      <w:r>
        <w:rPr/>
        <w:t>MINDQ (if applicable):</w:t>
        <w:tab/>
        <w:t>50,000 MMBtu/day; provided the MinDQ shall be zero during the period July 1, 2000 through July 31, 2000.</w:t>
      </w:r>
    </w:p>
    <w:p>
      <w:pPr>
        <w:pStyle w:val="BodyTextIndent"/>
        <w:tabs>
          <w:tab w:val="clear" w:pos="3600"/>
        </w:tabs>
        <w:rPr/>
      </w:pPr>
      <w:r>
        <w:rPr/>
        <w:t>DELIVERY POINT(S):</w:t>
        <w:tab/>
        <w:t>Houston Pipe Line Company / Shell Deer Park meter stations.</w:t>
      </w:r>
    </w:p>
    <w:p>
      <w:pPr>
        <w:pStyle w:val="Normal"/>
        <w:ind w:hanging="3600" w:start="3600" w:end="0"/>
        <w:jc w:val="both"/>
        <w:rPr/>
      </w:pPr>
      <w:r>
        <w:rPr/>
        <w:t>CONTRACT PRICE (per MMBtu):</w:t>
        <w:tab/>
        <w:t xml:space="preserve">1)  The contract price for the DCQ shall equal the Index Price less a commodity differential of $0.010 per MMBtu, where “Index Price” means the index price published in </w:t>
      </w:r>
      <w:r>
        <w:rPr>
          <w:u w:val="single"/>
        </w:rPr>
        <w:t>Inside F.E.R.C.’s Gas Market Report</w:t>
      </w:r>
      <w:r>
        <w:rPr/>
        <w:t xml:space="preserve"> for Houston Ship Channel/Beaumont, Texas, large packages, as listed in the table entitled “Delivered Spot-Gas Prices” in the first-of-the-month issue of such publication for each Month during the Period of Delivery.</w:t>
      </w:r>
    </w:p>
    <w:p>
      <w:pPr>
        <w:pStyle w:val="Normal"/>
        <w:ind w:hanging="3600" w:start="3600" w:end="0"/>
        <w:jc w:val="both"/>
        <w:rPr/>
      </w:pPr>
      <w:r>
        <w:rPr/>
        <w:tab/>
        <w:t>2)  The contract price for all volumes up to the first 20,000 MMBtu/day scheduled each Day in excess of the DCQ shall equal the HSC Spot Price (Midpoint) plus a commodity differential of $0.04 per MMBtu, where “HSC Spot Price (Midpoint)” means the midpoint price set forth in Gas Daily® (Financial Times Energy) or successor publication, in the column “Daily Price Survey” under East-Houston-Katy – Houston Ship Channel as reported on the 2</w:t>
      </w:r>
      <w:r>
        <w:rPr>
          <w:vertAlign w:val="superscript"/>
        </w:rPr>
        <w:t>nd</w:t>
      </w:r>
      <w:r>
        <w:rPr/>
        <w:t xml:space="preserve"> Business Day after the flow day; provided, if there is no price or range of prices published for such Gas Day, then the HSC Spot Price (Midpoint) shall be deemed to be the midpoint price for the next Gas Day for which a HSC Spot Price (Midpoint) can be determined in accordance herewith.  By way of example, the HSC Spot Price (Midpoint) for Gas flowed on Monday shall be the price published on Wednesday.</w:t>
      </w:r>
    </w:p>
    <w:p>
      <w:pPr>
        <w:pStyle w:val="Normal"/>
        <w:ind w:hanging="3600" w:start="3600" w:end="0"/>
        <w:jc w:val="both"/>
        <w:rPr/>
      </w:pPr>
      <w:r>
        <w:rPr/>
        <w:tab/>
        <w:t>3)  The contract price for all volumes between 20,001 MMBtu/day and 50,000 MMBtu/day scheduled each Day in excess of the DCQ shall equal the HSC Spot Price (Midpoint) plus a commodity differential of $0.10 per MMBtu.</w:t>
      </w:r>
    </w:p>
    <w:p>
      <w:pPr>
        <w:pStyle w:val="Normal"/>
        <w:ind w:hanging="3600" w:start="3600" w:end="0"/>
        <w:jc w:val="both"/>
        <w:rPr/>
      </w:pPr>
      <w:r>
        <w:rPr/>
        <w:tab/>
        <w:t>4)  Notwithstanding anything to the Contrary contained in Section 3.4 of the Enfolio Master Firm Purchase/Sale Agreement, the contract price to be paid by Seller to Buyer for any daily undertakes by Buyer between the first-of-the-month nominated volume and the actual volume taken for such Day shall be equal to the lesser of the Contract Price in 1) above or the Katy Spot Price (Midpoint), where “Katy Spot Price (Midpoint)” means the midpoint jprice set forth in Gas Daily® (Financial Times Energy) or successor publication, in the column “Daily Price Survey” under East-Houston-Katy – Katy plant tailgate as reported on the 2</w:t>
      </w:r>
      <w:r>
        <w:rPr>
          <w:vertAlign w:val="superscript"/>
        </w:rPr>
        <w:t>nd</w:t>
      </w:r>
      <w:r>
        <w:rPr/>
        <w:t xml:space="preserve"> Business Day after the flow day; provided, if there is no price or range of prices published for such Gas Day, then the Katy Spot Price (Midpoint) shall be deemed to be the midpoint price for the next Gas Day for which a Katy Spot Price (Midpoint) can be determined in accordance herewith..</w:t>
      </w:r>
    </w:p>
    <w:p>
      <w:pPr>
        <w:pStyle w:val="Normal"/>
        <w:ind w:hanging="3600" w:start="3600" w:end="0"/>
        <w:jc w:val="both"/>
        <w:rPr/>
      </w:pPr>
      <w:r>
        <w:rPr/>
        <w:tab/>
        <w:t>5)  Notwithstanding anything to the Contrary contained in Section 3.4 of the Enfolio Master Firm Purchase/Sale Agreement, if the volumes scheduled by Buyer do not average 90,000 MMBtu per Day for the Period of Delivery, the price to be paid by Buyer to Seller for any undertakes during such Period of Delivery shall be the product of $0.10 times the difference between 90,000 MMBtu per Day for the Period of Delivery and the actual volumes taken for each Day during the Period of Delivery.</w:t>
      </w:r>
    </w:p>
    <w:p>
      <w:pPr>
        <w:pStyle w:val="BodyTextIndent"/>
        <w:tabs>
          <w:tab w:val="clear" w:pos="3600"/>
        </w:tabs>
        <w:rPr>
          <w:u w:val="single"/>
        </w:rPr>
      </w:pPr>
      <w:r>
        <w:rPr/>
        <w:t xml:space="preserve">PERIOD OF DELIVERY:  </w:t>
        <w:tab/>
        <w:t>July 1, 2000 through June 30, 2001.</w:t>
      </w:r>
    </w:p>
    <w:p>
      <w:pPr>
        <w:pStyle w:val="BodyTextIndent"/>
        <w:tabs>
          <w:tab w:val="clear" w:pos="3600"/>
        </w:tabs>
        <w:rPr/>
      </w:pPr>
      <w:r>
        <w:rPr/>
        <w:t>SPOT PRICE LOCATION:</w:t>
        <w:tab/>
        <w:t>East-Houston-Katy – Houston Ship Channel.</w:t>
      </w:r>
    </w:p>
    <w:p>
      <w:pPr>
        <w:pStyle w:val="BodyTextIndent"/>
        <w:tabs>
          <w:tab w:val="clear" w:pos="3600"/>
        </w:tabs>
        <w:rPr/>
      </w:pPr>
      <w:r>
        <w:rPr/>
        <w:t>OTHER:</w:t>
        <w:tab/>
        <w:t>For the purposes of this Transaction only, Customer agrees to pay Company the sum of $1,500.00 per month each month during the Period of Delivery toward the costs to be incurred by Company to change HPL Meter #1095 located at the Point of Delivery from pressure control to flow control.</w:t>
      </w:r>
    </w:p>
    <w:p>
      <w:pPr>
        <w:pStyle w:val="Normal"/>
        <w:jc w:val="both"/>
        <w:rPr/>
      </w:pPr>
      <w:r>
        <w:rPr/>
      </w:r>
    </w:p>
    <w:p>
      <w:pPr>
        <w:pStyle w:val="Normal"/>
        <w:jc w:val="both"/>
        <w:rPr/>
      </w:pPr>
      <w:r>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jc w:val="both"/>
        <w:rPr/>
      </w:pPr>
      <w:r>
        <w:rPr/>
      </w:r>
    </w:p>
    <w:p>
      <w:pPr>
        <w:pStyle w:val="Normal"/>
        <w:jc w:val="both"/>
        <w:rPr/>
      </w:pPr>
      <w:r>
        <w:rPr/>
        <w:t>SHELL OIL COMPANY</w:t>
        <w:tab/>
        <w:tab/>
        <w:tab/>
        <w:tab/>
        <w:t>HOUSTON PIPE LINE COMPANY</w:t>
      </w:r>
    </w:p>
    <w:p>
      <w:pPr>
        <w:pStyle w:val="Normal"/>
        <w:jc w:val="both"/>
        <w:rPr/>
      </w:pPr>
      <w:r>
        <w:rPr/>
      </w:r>
    </w:p>
    <w:p>
      <w:pPr>
        <w:pStyle w:val="Normal"/>
        <w:jc w:val="both"/>
        <w:rPr/>
      </w:pPr>
      <w:r>
        <w:rPr/>
      </w:r>
    </w:p>
    <w:p>
      <w:pPr>
        <w:pStyle w:val="Normal"/>
        <w:jc w:val="both"/>
        <w:rPr/>
      </w:pPr>
      <w:r>
        <w:rPr/>
        <w:t xml:space="preserve">By: </w:t>
      </w:r>
      <w:r>
        <w:rPr>
          <w:u w:val="single"/>
        </w:rPr>
        <w:tab/>
        <w:tab/>
        <w:tab/>
        <w:tab/>
        <w:tab/>
      </w:r>
      <w:r>
        <w:rPr/>
        <w:tab/>
        <w:t xml:space="preserve">By: </w:t>
      </w:r>
      <w:r>
        <w:rPr>
          <w:u w:val="single"/>
        </w:rPr>
        <w:tab/>
        <w:tab/>
        <w:tab/>
        <w:tab/>
        <w:tab/>
      </w:r>
    </w:p>
    <w:p>
      <w:pPr>
        <w:pStyle w:val="Normal"/>
        <w:jc w:val="both"/>
        <w:rPr/>
      </w:pPr>
      <w:r>
        <w:rPr/>
        <w:t xml:space="preserve">       </w:t>
      </w:r>
      <w:r>
        <w:rPr/>
        <w:t xml:space="preserve">Title: </w:t>
      </w:r>
      <w:r>
        <w:rPr>
          <w:u w:val="single"/>
        </w:rPr>
        <w:tab/>
        <w:tab/>
        <w:tab/>
        <w:tab/>
      </w:r>
      <w:r>
        <w:rPr/>
        <w:tab/>
        <w:t xml:space="preserve">       Title:  </w:t>
      </w:r>
      <w:r>
        <w:rPr>
          <w:u w:val="single"/>
        </w:rPr>
        <w:tab/>
        <w:tab/>
        <w:tab/>
        <w:tab/>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8"/>
      </w:rPr>
    </w:pPr>
    <w:r>
      <w:rPr>
        <w:sz w:val="8"/>
      </w:rPr>
      <w:fldChar w:fldCharType="begin"/>
    </w:r>
    <w:r>
      <w:rPr>
        <w:sz w:val="8"/>
      </w:rPr>
      <w:instrText xml:space="preserve"> FILENAME \p </w:instrText>
    </w:r>
    <w:r>
      <w:rPr>
        <w:sz w:val="8"/>
      </w:rPr>
      <w:fldChar w:fldCharType="separate"/>
    </w:r>
    <w:r>
      <w:rPr>
        <w:sz w:val="8"/>
      </w:rPr>
      <w:t>/mnt/main-storage/datasets/enron-docs/doc/2000_45crfm.doc</w:t>
    </w:r>
    <w:r>
      <w:rPr>
        <w:sz w:val="8"/>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8"/>
      </w:rPr>
    </w:pPr>
    <w:r>
      <w:rPr>
        <w:sz w:val="8"/>
      </w:rPr>
      <w:fldChar w:fldCharType="begin"/>
    </w:r>
    <w:r>
      <w:rPr>
        <w:sz w:val="8"/>
      </w:rPr>
      <w:instrText xml:space="preserve"> FILENAME \p </w:instrText>
    </w:r>
    <w:r>
      <w:rPr>
        <w:sz w:val="8"/>
      </w:rPr>
      <w:fldChar w:fldCharType="separate"/>
    </w:r>
    <w:r>
      <w:rPr>
        <w:sz w:val="8"/>
      </w:rPr>
      <w:t>/mnt/main-storage/datasets/enron-docs/doc/2000_45crfm.doc</w:t>
    </w:r>
    <w:r>
      <w:rPr>
        <w:sz w:val="8"/>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t>Shell Oil Company</w:t>
    </w:r>
  </w:p>
  <w:p>
    <w:pPr>
      <w:pStyle w:val="Normal"/>
      <w:rPr/>
    </w:pPr>
    <w:r>
      <w:rPr/>
      <w:t>June 27, 2000</w:t>
    </w:r>
  </w:p>
  <w:p>
    <w:pPr>
      <w:pStyle w:val="Normal"/>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Normal"/>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8640" w:leader="none"/>
      </w:tabs>
      <w:ind w:hanging="5580" w:start="5580" w:end="0"/>
      <w:jc w:val="both"/>
    </w:pPr>
    <w:rPr>
      <w:rFonts w:ascii="Arial Narrow" w:hAnsi="Arial Narrow" w:cs="Arial Narrow"/>
      <w:sz w:val="18"/>
    </w:rPr>
  </w:style>
  <w:style w:type="paragraph" w:styleId="WW-BodyText2">
    <w:name w:val="WW-Body Text 2"/>
    <w:basedOn w:val="Normal"/>
    <w:qFormat/>
    <w:pPr>
      <w:tabs>
        <w:tab w:val="clear" w:pos="720"/>
        <w:tab w:val="left" w:pos="8640" w:leader="none"/>
      </w:tabs>
      <w:ind w:hanging="4320" w:start="2880" w:end="0"/>
      <w:jc w:val="both"/>
    </w:pPr>
    <w:rPr>
      <w:rFonts w:ascii="Arial Narrow" w:hAnsi="Arial Narrow" w:cs="Arial Narrow"/>
      <w:sz w:val="18"/>
    </w:rPr>
  </w:style>
  <w:style w:type="paragraph" w:styleId="WW-BodyText21">
    <w:name w:val="WW-Body Text 21"/>
    <w:basedOn w:val="Normal"/>
    <w:qFormat/>
    <w:pPr>
      <w:tabs>
        <w:tab w:val="clear" w:pos="720"/>
        <w:tab w:val="left" w:pos="8640" w:leader="none"/>
      </w:tabs>
      <w:ind w:hanging="2880" w:start="2880" w:end="0"/>
      <w:jc w:val="both"/>
    </w:pPr>
    <w:rPr>
      <w:rFonts w:ascii="Arial Narrow" w:hAnsi="Arial Narrow" w:cs="Arial Narrow"/>
      <w:sz w:val="18"/>
    </w:rPr>
  </w:style>
  <w:style w:type="paragraph" w:styleId="BodyTextIndent">
    <w:name w:val="Body Text Indent"/>
    <w:basedOn w:val="Normal"/>
    <w:pPr>
      <w:tabs>
        <w:tab w:val="clear" w:pos="720"/>
        <w:tab w:val="left" w:pos="3600" w:leader="none"/>
      </w:tabs>
      <w:ind w:hanging="3600" w:start="3600" w:end="0"/>
      <w:jc w:val="both"/>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2000-06-06T12:10:00Z</dcterms:created>
  <dc:creator>Daniel J. Hyvl</dc:creator>
  <dc:description/>
  <dc:language>en-CA</dc:language>
  <cp:lastModifiedBy>jhelton</cp:lastModifiedBy>
  <cp:lastPrinted>2000-06-27T13:42:00Z</cp:lastPrinted>
  <dcterms:modified xsi:type="dcterms:W3CDTF">2000-06-27T16:17:00Z</dcterms:modified>
  <cp:revision>10</cp:revision>
  <dc:subject/>
  <dc:title/>
</cp:coreProperties>
</file>