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101857628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29,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Southern Energy Marketing Company with 77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29-Feb-00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1,155 </w:t>
        <w:tab/>
        <w:t xml:space="preserve"> 39,504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463,655,144 </w:t>
        <w:tab/>
        <w:t xml:space="preserve"> 13,348,236,465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389,590,286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236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893 </w:t>
        <w:tab/>
        <w:t xml:space="preserve"> 32,560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176,724,389 </w:t>
        <w:tab/>
        <w:t xml:space="preserve"> 6,578,821,519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369,245,902 </w:t>
        <w:tab/>
        <w:t xml:space="preserve"> 10,725,358,246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118 </w:t>
        <w:tab/>
        <w:t xml:space="preserve"> 2,192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23,947,500 </w:t>
        <w:tab/>
        <w:t xml:space="preserve"> 290,654,000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49,068,042 </w:t>
        <w:tab/>
        <w:t xml:space="preserve"> 588,977,144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82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750,000 </w:t>
        <w:tab/>
        <w:t xml:space="preserve"> 17,455,000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95,813 </w:t>
        <w:tab/>
        <w:t xml:space="preserve"> 33,077,248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96 </w:t>
        <w:tab/>
        <w:t xml:space="preserve"> 3,358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723,029 </w:t>
        <w:tab/>
        <w:t xml:space="preserve"> 27,453,027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28,797,941 </w:t>
        <w:tab/>
        <w:t xml:space="preserve"> 1,012,870,946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206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50,400 </w:t>
        <w:tab/>
        <w:t xml:space="preserve"> 9,760,421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1,621,319 </w:t>
        <w:tab/>
        <w:t xml:space="preserve"> 366,340,778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34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4,452 </w:t>
        <w:tab/>
        <w:t xml:space="preserve"> 58,155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92,703 </w:t>
        <w:tab/>
        <w:t xml:space="preserve"> 1,291,297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25 </w:t>
        <w:tab/>
        <w:t xml:space="preserve"> 241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95,357 </w:t>
        <w:tab/>
        <w:t xml:space="preserve"> 1,981,993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1,645,518 </w:t>
        <w:tab/>
        <w:t xml:space="preserve"> 37,252,632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17,713,650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631,836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104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11,160 </w:t>
        <w:tab/>
        <w:t xml:space="preserve"> 1,938,264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179,786 </w:t>
        <w:tab/>
        <w:t xml:space="preserve"> 28,427,265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 </w:t>
        <w:tab/>
        <w:t xml:space="preserve"> 250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600,000 </w:t>
        <w:tab/>
        <w:t xml:space="preserve"> 27,460,184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9,861,600 </w:t>
        <w:tab/>
        <w:t xml:space="preserve"> 369,447,080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360,000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59,888,900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 </w:t>
        <w:tab/>
        <w:t xml:space="preserve"> 190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56,000 </w:t>
        <w:tab/>
        <w:t xml:space="preserve"> 2,184,000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2,045,000 </w:t>
        <w:tab/>
        <w:t xml:space="preserve"> 74,362,500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85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18 </w:t>
        <w:tab/>
        <w:t xml:space="preserve"> 2,033,424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1,001,250 </w:t>
        <w:tab/>
        <w:t xml:space="preserve"> 29,767,433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Plastics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1,500,000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427,500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18,982,650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92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1 </w:t>
        <w:tab/>
        <w:t xml:space="preserve"> 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270 </w:t>
        <w:tab/>
        <w:t xml:space="preserve"> 59,760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22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22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6,438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812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62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29-Feb-00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118 </w:t>
        <w:tab/>
        <w:t xml:space="preserve"> 2,915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46,696,943 </w:t>
        <w:tab/>
        <w:t xml:space="preserve"> 1,192,523,602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115,033,723 </w:t>
        <w:tab/>
        <w:t xml:space="preserve"> 2,111,296,314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2 </w:t>
        <w:tab/>
        <w:t xml:space="preserve"> 75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56,913 </w:t>
        <w:tab/>
        <w:t xml:space="preserve"> 1,023,527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1,623,870 </w:t>
        <w:tab/>
        <w:t xml:space="preserve"> 30,817,983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120 </w:t>
        <w:tab/>
        <w:t xml:space="preserve"> 2,990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116,657,593 </w:t>
        <w:tab/>
        <w:t xml:space="preserve"> 2,142,114,297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203 and Altrade were 293.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105400" cy="4576445"/>
            <wp:effectExtent l="0" t="0" r="0" b="0"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9415" cy="3175000"/>
            <wp:effectExtent l="0" t="0" r="0" b="0"/>
            <wp:wrapTopAndBottom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Global Trading Limited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Agip (UK) Limited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NUI Energy Brokers,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Gas Company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29-Feb-2000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10,142,180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35,482,625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16,369,668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49,680,420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33,549,763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112,118,868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36,014,218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117,969,921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51,675,000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55,015,000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77,250,000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210,629,725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111,905,000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305,588,400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4,107,446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11,014,683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4,117,446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11,040,883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893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176,724,389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369,245,902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1,011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223,421,332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484,279,624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1,822,500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3,626,250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1,822,500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3,626,250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22,125,000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45,441,792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22,125,000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45,441,792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23,947,500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49,068,042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23,947,500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49,068,042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95,813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95,813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50,400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1,621,319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50,400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1,621,319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334,864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13,819,162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360,579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14,667,750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388,165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14,978,779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419,364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15,754,061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723,029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28,797,941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779,942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30,421,811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4,452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92,703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4,452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92,703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95,357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1,645,518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95,357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1,645,518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11,160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179,786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11,160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179,786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110,969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1,918,007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110,969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1,918,007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9,861,600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9,861,600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56,000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2,045,000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56,000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2,045,000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1,001,250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1,001,250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7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466"/>
        <w:gridCol w:w="1540"/>
        <w:gridCol w:w="1003"/>
        <w:gridCol w:w="1529"/>
        <w:gridCol w:w="1418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46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54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18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791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506,432,633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1,430,149,662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530,095,192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1,487,527,654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6,798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771,301,507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2,270,983,938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6,857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781,622,550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2,294,231,085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3,432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2,519,350,000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3,866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2,904,625,000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9,011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2,526,475,000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6,470,640,288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11,309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3,299,550,000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8,500,807,113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12,528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255,262,379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553,584,359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12,542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255,452,379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554,088,709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32,560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6,578,821,519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10,725,358,246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35,475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7,771,345,121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12,836,654,560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30,575,000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57,465,849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30,575,000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57,465,849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2,067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260,079,000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531,511,295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2,067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260,079,000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531,511,295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2,192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290,654,000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588,977,144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2,192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290,654,000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588,977,144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17,455,000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33,077,248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17,455,000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33,077,248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206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9,760,421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366,340,778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9,760,421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366,340,778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1,653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15,440,880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580,706,342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1,686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15,946,033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592,958,045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1,705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12,012,147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432,164,604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1,747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12,530,521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450,730,884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3,358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27,453,027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1,012,870,946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3,433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28,476,554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1,043,688,929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58,155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1,291,297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58,155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1,291,297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241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1,981,993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37,252,632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1,981,993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37,252,632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17,713,650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631,836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17,713,650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631,836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104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1,938,264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28,427,265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1,938,264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28,427,265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385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21,692,062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67,603,030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21,692,062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67,603,030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250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27,460,184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369,447,080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27,460,184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369,447,080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360,000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59,888,900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256,750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59,888,900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190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2,184,000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74,362,500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190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2,184,000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74,362,500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46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/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2,033,424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29,767,433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2,033,424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29,767,433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 </w:t>
            </w:r>
          </w:p>
        </w:tc>
        <w:tc>
          <w:tcPr>
            <w:tcW w:w="146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 </w:t>
            </w:r>
          </w:p>
        </w:tc>
        <w:tc>
          <w:tcPr>
            <w:tcW w:w="15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59,760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 </w:t>
            </w:r>
          </w:p>
        </w:tc>
        <w:tc>
          <w:tcPr>
            <w:tcW w:w="141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59,760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6,438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6,438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10" w:start="-30" w:end="0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94"/>
        <w:gridCol w:w="931"/>
        <w:gridCol w:w="79"/>
        <w:gridCol w:w="946"/>
        <w:gridCol w:w="64"/>
        <w:gridCol w:w="1011"/>
        <w:gridCol w:w="343"/>
        <w:gridCol w:w="667"/>
        <w:gridCol w:w="751"/>
      </w:tblGrid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29Feb00     CAD/GJ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146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909,000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1,263,000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Apr00       CAD/GJ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3,210,000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Mar00       CAD/GJ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3,069,000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1,962,300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97,195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ANR-SE Gath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41,871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Col. Onshore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FGT Z-2 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107,000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287,000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65,187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123,592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117,000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240,552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259,192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243,239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285,400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147,000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500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17,500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800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ELA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M3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WLA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TGT Z-SL     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Z6 NY   01Mar00     USD/MM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17,500 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8659" w:type="dxa"/>
        <w:jc w:val="start"/>
        <w:tblInd w:w="-3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81"/>
        <w:gridCol w:w="3974"/>
        <w:gridCol w:w="271"/>
        <w:gridCol w:w="836"/>
        <w:gridCol w:w="1372"/>
        <w:gridCol w:w="221"/>
        <w:gridCol w:w="221"/>
        <w:gridCol w:w="624"/>
        <w:gridCol w:w="259"/>
      </w:tblGrid>
      <w:tr>
        <w:trPr>
          <w:trHeight w:val="567" w:hRule="atLeast"/>
        </w:trPr>
        <w:tc>
          <w:tcPr>
            <w:tcW w:w="881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  <w:tc>
          <w:tcPr>
            <w:tcW w:w="25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10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Europe Energy Trading Ltd.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EnBW Gesellschaft fur Stromhandel mbH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Texla Energy Management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Enerchange, LLC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Marketing, L.P.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U.S. Gas Transportation,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Financial Products Limited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Torch-CoEnergy L.L.C.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 Canada Ltd.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Gas Company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Stanley Capital Group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Midlands Sales Limited T/as MEB Trading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Accord Energy Ltd.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Marketing Limited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New Mexico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Premstar Energy Canada Ltd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Power Marketing,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Energy, L.P.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UK Limited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Marketing &amp; Trading, LLC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Bonneville Power Administration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BGML - FT Bridgeline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Beau Canada Exploration Ltd.</w:t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7776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83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161</w:t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126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10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96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962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7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25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Normal"/>
        <w:rPr/>
      </w:pPr>
      <w:r>
        <w:rPr/>
      </w:r>
    </w:p>
    <w:tbl>
      <w:tblPr>
        <w:tblW w:w="121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466"/>
        <w:gridCol w:w="5724"/>
      </w:tblGrid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Aare-Tessin AG fur Elektrizitat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ThomasKamm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Accord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jasbadyal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 Resources Marketing,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CHRISTRADE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bbbalog1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AEC Storage and Hub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daberleeo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alsheikh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Agip (UK)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Christian Coles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Allegheny Energy Supply Company,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RJZABROS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Alliance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LAWRIE123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Alliant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a0444600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AltaGas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Amerada Hess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Darren Wright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Central Energy,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M. Frey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Electric Power Service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erikdoyle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American Municipal Power-Ohio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Tignor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Canada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bpazmsr11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Energy Trading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Guy DePaolis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Anadarko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Anderson Exploration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mdelaney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Donald Albon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Fox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BHOGGATT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Arizona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 Carlson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Ashland Specialty Chemicals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Astra Power,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Aurora Natural Gas,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Corporation - Washington Water Power Division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Jason Thackston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kselland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America, National Association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Chang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 of Montreal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Bankers Trust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clencker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Barrett Resources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Miller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Baytex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Adrien Joly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 Gas Utility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Beau Canada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Berkley Petroleum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tpark369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KAMTBKAM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Bonneville Power Administration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Bill Lamb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BP Amoco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Hasouandre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Columbia Power Exchange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 Kern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 Caouette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brtrader04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Calpine Power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Posoli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Canadian Hunter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Micheal St. Clair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Canadian Imperial Bank of Commerce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barkerda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Canwest Gas Supply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Mareau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caroljenni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Cima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FJMORENO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Global Trading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O'Dwyer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Marketing &amp; Trading,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ROBERTMOOR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haibinyu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Citibank, N.A.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McGaughey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Riverside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Steven Johnson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Tallahassee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Roger McDonald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martyduck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Clinton Energy Management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Leanza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Continental Natural Gas,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Longmore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Marketing, Services and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Jeanne Kurzynowski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CMS Panhandle Eastern Pipeline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bgaspard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Canada,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Group, a division of Cornerstone Propane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buckdiers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Coastal States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Stanley Bucek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KAPOOR12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ConAgra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Tom Solon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Diana Morrow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Continental Gas Book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Marcello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Hans Saeby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 Zipper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 Timbers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redwood2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Ian Johnston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CXY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Joel Green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Delmarva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avgallo15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Direct Energy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Dominion Energy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Lyle 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Draig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DTE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Merchants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Krauskopf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KAC767159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Jeffrey Gow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Marketing and Trade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BARRON01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Barron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UK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Garske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 prime,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David Fuller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Eagle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Paul Belflower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Edison Mission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epmegCTK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PowerKXM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Electrabel 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FDL188EBL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Exploration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wdbrown1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Gas and Power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DOUGLASL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EnBW Gesellschaft fur Stromhandel mbH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bcbd1213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Encal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Culbert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Encina Gas Marketing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benbaker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EnergyUSA-TPC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Filipek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US,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Forrest Wylie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Enserco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Power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D. Scot Marshall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Entergy Trading and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clempotter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EOG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Marc Eschenburg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EOTT Energy Operating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CharlesUus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Equitable 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Shafranek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Equiva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mdsmith1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Ferrell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FirstEnergy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Deron Upton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Fortum Oil and Gas Oy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RAGFOGGY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Frito-Lay,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Schasel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Gas Alberta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Randy O'Hara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Genesis Crude Oil,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gcobuford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Georgia Gulf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Chad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Talisman Energy Ann Love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Toronto-Dominion Bank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Talisman Energy Inc. Ed Paszkiewicz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Chevron Canada Resources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Stora Enso Pulication Paper AG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Ingolf Hoven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Christophe Merkel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Customer-Sweden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AB SCA Finans Henrik Olsson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Customer-Switzerland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Cargill International SA Jason Paterniti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Thorton Power Limited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STASCO Nigel Catterall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Glencore UK Ltd Max Attree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Power UK Plc Kevin Devlin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Kelly Freilich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Battelle Memorial Institute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David Clare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York State Electric &amp; Gas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Shenandoah Energy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Portland General Jennifer M Owen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Ameren Jim Mooreii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Constellation Energy Jim Heis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Gas Transmission Paul Alligeo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Gas and Electric Co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National Fuel Marketing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Durkee Capital Donna Greif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Tacoma Power Todd Lloyd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Rainbow Energy Marketing Corp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Columbia Energy Services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Stand Energy Nan Hamilton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Madison Gas &amp; Electric   Jeff Keebler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South Jersey Resources Group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Societe Generale Olivier Raevel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Pemex  Victor Galindo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Farmland Industries  Sharon Nichols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Refco Group Limited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Skygen Energy LLC Scott Ebner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Midcoast Energy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Inoic Energy Inc. Jim Saunders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Modesto Irrigation District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Highland Energy Co.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David Armi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Omaha Public Power District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Trading,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Tennessee Energy Acquisition Corp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Liberty Oil &amp; Gas Ltd. Greg Elliott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City of Vernon Jorge Somoano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Midland Cogeneration Venture Ltd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Eugene Water &amp; Electric Board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TRAMMO GAS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Wisconsin Public Power Inc.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Kansas City Power &amp; Light Co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Electric and Gas Co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Forest Oil Corporation Rick Hatcher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Copano Field Services/ Copano Bay, L.P.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Gulf Midstream Services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GB071892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TK000001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Helmerich &amp; Payne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Semlitz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IBEX Resources,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Ian Phair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 Energy Solutions,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Stephenson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CSPROUSE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IGI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Polito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Indeck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 Landstrom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Interchem 2000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Klaus Gunther-Blombach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Paper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Jena Scruggs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Inventory Management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Alderman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J. Aron &amp;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Isabelle Ealet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Keyspan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Terrence Kain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Kimball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Smokoski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GINGERBR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ADAMKELLY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Carbon Inc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Matthew Paul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Stacy Frantz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Koch Metals 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Michael Orr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Midstream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markferg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Refining International Pte.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Groeneveld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Kolmar Petrochemicals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Raf Aviner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Landmark Chemicals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Wolfgang Baumgaertel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LG&amp;E Energy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LEMevbiss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Los Angeles Dept. of Water &amp; Power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scmasuda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Louis Dreyfus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Piniella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Magnox Electric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PRAKASHC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McMurry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Memphis Light, Gas, and Water Division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Knowles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Merchant Energy Group of the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MEGABRIAN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bjkmlcom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Methanex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Hoskins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MidAmerican Energy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 Henson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Midlands Sales Limited T/as MEB Trading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 O'Dwyer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 Herndon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Minnesota Power,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Ronald Bole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Morgan Stanley Capital Group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Neal Shear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Murphy Oil Company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Ross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Nashville Electric Service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Decosta Jenkins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Neste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ahhavvas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Century Energies,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Pamela Cardenas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 Jersey Natural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Dean Tierney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NewEnergy,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Kosier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Raymond  Danchak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Enerchange,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Christopher Wronkiewicz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eet12345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NJR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ASA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HENRIKNESS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Produksjon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Carsten Dovland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Indiana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Stacy Djukic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Northrock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 Wong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Gas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ME181781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Neil Stainton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NUI Energy Brokers,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Numac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 MacLeod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Occidental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Jason Sandmaier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OGE Energy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Austeddie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ANDREWHELM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ONEOK Power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Preston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Ostenfjeldske Kraftomsetning - Oko Kraft 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ASTRADER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Northern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Simone Kresnyak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PacifiCorp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Pan-Alberta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PanCanadian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 McCord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Paribas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GEORGEE01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PCS Nitrogen Fertilizer,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AUDREAHILL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Peabody COALTRADE,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Raphael Pierce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Peoples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RICHMAN00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Petrobank Energy and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Adair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Petro-Canada Oil and Gas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gerryhrap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Petrocom Energy Group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Wilkinson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Trading, Canada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Phibro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Patrick M. Leeber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Phillips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Kenneth Baker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Piper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Boyd MacDonald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PowerGen UK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Jake Dunn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PP&amp;L,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J. Crupi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Premstar Energy Canada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Kilby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PrimeWest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Prior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Danny Chance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Producers Marketing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donnicol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Progas Enterprises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 Z.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ProLiance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Barry Meyers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PSEG Energy Technologies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  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Colorado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Gayleen Barrett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James Butler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Electric and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jefffoose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Utility District No.1 of Benton County, Washington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Puget Sound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Kevin Lambert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Questar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CChisholm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gturnbullc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Shahid Malik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Richardson Products II,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Royal Bank of Canada, The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bazzamazza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Sabine Hub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flarn2772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Hastings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Saskferco Products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Dennis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Power UK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Graham Scott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Europe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PALLANDT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ANDREWKNUS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SG Interests 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Russell Gordy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Shell Chemical Risk Management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Steven Berley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Shiningbank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Sithe Power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 Doyle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MARKGRAM01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Indiana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areubens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Southwestern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Debbie Branch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Statoil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Kara Mucha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Strategic Energy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JER123065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Stream Capital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Suncor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BJW55555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Canada, a division of TMV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Alex Douglas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Ventures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TMVBRH02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ADEMARTINO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W. McCairns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Texex Energy Partners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W. Keith Maxwell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Chase Manhattan Bank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Gregory Crowley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The City of Azusa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Torch-CoEnergy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Total Gas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GDAYSH2000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EHENDRICK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TransAlta Energy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Financial Products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Jeff Peacock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Marvin Mah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Shea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Tricon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Gerry Alfaya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Tristar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Randy Tamplen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Twister Gas Services,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CRAIGPEN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txuetcbd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TXU Europe Energy Trading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U.S. Gas Transportation,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Cindy Bishop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Ulster Petroleums 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Pacific Resources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 Brown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Unocal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Utilicorp United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Greg Emergy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Electric and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BOBWILSON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Power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Chuck Gabler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Vitol 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M.A.  Loya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Farmers Electric Cooperative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Keith Elrod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Gas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ANDYCARTER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TEAMCHUCK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Western Resources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Shane Mathis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Williams Energy Marketing &amp;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Frank Field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RBartlow99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Daniel Veranac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jduncan1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Energy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Karen Hopkinson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724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5760" w:leader="none"/>
          <w:tab w:val="left" w:pos="6120" w:leader="none"/>
          <w:tab w:val="left" w:pos="6300" w:leader="none"/>
        </w:tabs>
        <w:rPr/>
      </w:pPr>
      <w:r>
        <w:rPr/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19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19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2000-03-01T13:47:00Z</dcterms:created>
  <dc:creator>Paul Goddard</dc:creator>
  <dc:description/>
  <dc:language>en-CA</dc:language>
  <cp:lastModifiedBy>tsweitz</cp:lastModifiedBy>
  <cp:lastPrinted>2000-03-01T11:07:00Z</cp:lastPrinted>
  <dcterms:modified xsi:type="dcterms:W3CDTF">2000-03-01T14:49:00Z</dcterms:modified>
  <cp:revision>19</cp:revision>
  <dc:subject/>
  <dc:title/>
</cp:coreProperties>
</file>