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January 26, 2001</w:t>
      </w:r>
    </w:p>
    <w:p>
      <w:pPr>
        <w:pStyle w:val="Normal"/>
        <w:jc w:val="both"/>
        <w:rPr>
          <w:sz w:val="22"/>
        </w:rPr>
      </w:pPr>
      <w:r>
        <w:rPr>
          <w:sz w:val="22"/>
        </w:rPr>
      </w:r>
    </w:p>
    <w:p>
      <w:pPr>
        <w:pStyle w:val="Normal"/>
        <w:jc w:val="both"/>
        <w:rPr>
          <w:sz w:val="22"/>
        </w:rPr>
      </w:pPr>
      <w:r>
        <w:rPr>
          <w:sz w:val="22"/>
        </w:rPr>
        <w:t>Equistar Chemicals, LP</w:t>
      </w:r>
    </w:p>
    <w:p>
      <w:pPr>
        <w:pStyle w:val="Normal"/>
        <w:jc w:val="both"/>
        <w:rPr>
          <w:sz w:val="22"/>
        </w:rPr>
      </w:pPr>
      <w:r>
        <w:rPr>
          <w:sz w:val="22"/>
        </w:rPr>
        <w:t>P. O. Box 3646</w:t>
      </w:r>
    </w:p>
    <w:p>
      <w:pPr>
        <w:pStyle w:val="Normal"/>
        <w:jc w:val="both"/>
        <w:rPr>
          <w:sz w:val="22"/>
        </w:rPr>
      </w:pPr>
      <w:r>
        <w:rPr>
          <w:sz w:val="22"/>
        </w:rPr>
        <w:t>Houston, Texas 77253-3646</w:t>
      </w:r>
    </w:p>
    <w:p>
      <w:pPr>
        <w:pStyle w:val="Normal"/>
        <w:jc w:val="both"/>
        <w:rPr>
          <w:sz w:val="22"/>
        </w:rPr>
      </w:pPr>
      <w:r>
        <w:rPr>
          <w:sz w:val="22"/>
        </w:rPr>
      </w:r>
    </w:p>
    <w:p>
      <w:pPr>
        <w:pStyle w:val="Normal"/>
        <w:jc w:val="both"/>
        <w:rPr>
          <w:sz w:val="22"/>
        </w:rPr>
      </w:pPr>
      <w:r>
        <w:rPr>
          <w:sz w:val="22"/>
        </w:rPr>
        <w:t>Re:</w:t>
        <w:tab/>
        <w:t>Transaction Agreement No. EC32</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22"/>
        </w:rPr>
        <w:tab/>
        <w:t>This Transaction Agreement No. EC32 (this "</w:t>
      </w:r>
      <w:r>
        <w:rPr>
          <w:sz w:val="22"/>
          <w:u w:val="single"/>
        </w:rPr>
        <w:t>Agreement</w:t>
      </w:r>
      <w:r>
        <w:rPr>
          <w:sz w:val="22"/>
        </w:rPr>
        <w:t>") shall form and effectuate the current proposal between Equistar Chemicals, LP (assignee of Millennium Petrochemicals, Inc. as successor to Quantum Chemical Corporation) ("</w:t>
      </w:r>
      <w:r>
        <w:rPr>
          <w:sz w:val="22"/>
          <w:u w:val="single"/>
        </w:rPr>
        <w:t>Customer</w:t>
      </w:r>
      <w:r>
        <w:rPr>
          <w:sz w:val="22"/>
        </w:rPr>
        <w:t>") and Houston Pipe Line Company (assignee of HPL Resources Company, formerly known as Natural Gas Marketing &amp; Storage Company) ("</w:t>
      </w:r>
      <w:r>
        <w:rPr>
          <w:sz w:val="22"/>
          <w:u w:val="single"/>
        </w:rPr>
        <w:t>Company</w:t>
      </w:r>
      <w:r>
        <w:rPr>
          <w:sz w:val="22"/>
        </w:rPr>
        <w:t>") regarding the purchase and sale of Gas effective as of February 1, 2000,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ab/>
        <w:t>Customer to purchase and receive (Buyer) and Company to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4968"/>
        <w:gridCol w:w="5220"/>
      </w:tblGrid>
      <w:tr>
        <w:trPr/>
        <w:tc>
          <w:tcPr>
            <w:tcW w:w="4968" w:type="dxa"/>
            <w:tcBorders/>
          </w:tcPr>
          <w:p>
            <w:pPr>
              <w:pStyle w:val="Normal"/>
              <w:jc w:val="both"/>
              <w:rPr>
                <w:sz w:val="22"/>
              </w:rPr>
            </w:pPr>
            <w:r>
              <w:rPr>
                <w:b/>
                <w:sz w:val="22"/>
              </w:rPr>
              <w:t>QUANTITIES:</w:t>
            </w:r>
          </w:p>
          <w:p>
            <w:pPr>
              <w:pStyle w:val="Normal"/>
              <w:jc w:val="both"/>
              <w:rPr>
                <w:sz w:val="22"/>
              </w:rPr>
            </w:pPr>
            <w:r>
              <w:rPr>
                <w:sz w:val="22"/>
              </w:rPr>
              <w:t>MaxDQ:</w:t>
            </w:r>
          </w:p>
        </w:tc>
        <w:tc>
          <w:tcPr>
            <w:tcW w:w="5220" w:type="dxa"/>
            <w:tcBorders/>
          </w:tcPr>
          <w:p>
            <w:pPr>
              <w:pStyle w:val="Normal"/>
              <w:snapToGrid w:val="false"/>
              <w:jc w:val="both"/>
              <w:rPr>
                <w:sz w:val="22"/>
              </w:rPr>
            </w:pPr>
            <w:r>
              <w:rPr>
                <w:sz w:val="22"/>
              </w:rPr>
            </w:r>
          </w:p>
          <w:p>
            <w:pPr>
              <w:pStyle w:val="Normal"/>
              <w:jc w:val="both"/>
              <w:rPr>
                <w:sz w:val="22"/>
              </w:rPr>
            </w:pPr>
            <w:r>
              <w:rPr>
                <w:sz w:val="22"/>
              </w:rPr>
              <w:t>10,000 MMBtu of Gas per Day.</w:t>
            </w:r>
          </w:p>
        </w:tc>
      </w:tr>
      <w:tr>
        <w:trPr/>
        <w:tc>
          <w:tcPr>
            <w:tcW w:w="4968" w:type="dxa"/>
            <w:tcBorders/>
          </w:tcPr>
          <w:p>
            <w:pPr>
              <w:pStyle w:val="Normal"/>
              <w:jc w:val="both"/>
              <w:rPr>
                <w:sz w:val="22"/>
              </w:rPr>
            </w:pPr>
            <w:r>
              <w:rPr>
                <w:sz w:val="22"/>
              </w:rPr>
              <w:t>Interruptible Quantity:</w:t>
            </w:r>
          </w:p>
        </w:tc>
        <w:tc>
          <w:tcPr>
            <w:tcW w:w="5220" w:type="dxa"/>
            <w:tcBorders/>
          </w:tcPr>
          <w:p>
            <w:pPr>
              <w:pStyle w:val="Normal"/>
              <w:jc w:val="both"/>
              <w:rPr>
                <w:sz w:val="22"/>
              </w:rPr>
            </w:pPr>
            <w:r>
              <w:rPr>
                <w:sz w:val="22"/>
              </w:rPr>
              <w:t>Quantities in excess of the MaxDQ.</w:t>
            </w:r>
          </w:p>
          <w:p>
            <w:pPr>
              <w:pStyle w:val="Normal"/>
              <w:jc w:val="both"/>
              <w:rPr>
                <w:sz w:val="22"/>
              </w:rPr>
            </w:pPr>
            <w:r>
              <w:rPr>
                <w:sz w:val="22"/>
              </w:rPr>
            </w:r>
          </w:p>
        </w:tc>
      </w:tr>
    </w:tbl>
    <w:p>
      <w:pPr>
        <w:pStyle w:val="Normal"/>
        <w:ind w:hanging="5040" w:start="5040" w:end="0"/>
        <w:jc w:val="both"/>
        <w:rPr/>
      </w:pPr>
      <w:r>
        <w:rPr>
          <w:b/>
          <w:sz w:val="22"/>
        </w:rPr>
        <w:t>DELIVERY POINTS:</w:t>
      </w:r>
      <w:r>
        <w:rPr>
          <w:sz w:val="22"/>
        </w:rPr>
        <w:tab/>
        <w:t>Houston Pipe Line Company (HPL) Meter Numbers 1062, 1165, 1334, 1373, 1384, 1399, 1552, 1553 and/or 8024.</w:t>
      </w:r>
    </w:p>
    <w:p>
      <w:pPr>
        <w:pStyle w:val="Normal"/>
        <w:keepNext w:val="true"/>
        <w:tabs>
          <w:tab w:val="clear" w:pos="720"/>
          <w:tab w:val="left" w:pos="4968" w:leader="none"/>
          <w:tab w:val="left" w:pos="10188" w:leader="none"/>
        </w:tabs>
        <w:jc w:val="both"/>
        <w:rPr>
          <w:b/>
          <w:sz w:val="22"/>
        </w:rPr>
      </w:pPr>
      <w:r>
        <w:rPr>
          <w:b/>
          <w:sz w:val="22"/>
        </w:rPr>
      </w:r>
    </w:p>
    <w:p>
      <w:pPr>
        <w:pStyle w:val="Normal"/>
        <w:keepNext w:val="true"/>
        <w:tabs>
          <w:tab w:val="clear" w:pos="720"/>
          <w:tab w:val="left" w:pos="4968" w:leader="none"/>
          <w:tab w:val="left" w:pos="10188" w:leader="none"/>
        </w:tabs>
        <w:jc w:val="both"/>
        <w:rPr>
          <w:sz w:val="22"/>
        </w:rPr>
      </w:pPr>
      <w:r>
        <w:rPr>
          <w:b/>
          <w:sz w:val="22"/>
        </w:rPr>
        <w:t>CONTRACT PRICE (per MMBtu):</w:t>
      </w:r>
    </w:p>
    <w:p>
      <w:pPr>
        <w:pStyle w:val="Normal"/>
        <w:tabs>
          <w:tab w:val="clear" w:pos="720"/>
          <w:tab w:val="left" w:pos="0" w:leader="none"/>
        </w:tabs>
        <w:jc w:val="both"/>
        <w:rPr/>
      </w:pPr>
      <w:r>
        <w:rPr>
          <w:sz w:val="22"/>
          <w:u w:val="single"/>
        </w:rPr>
        <w:t>Customer Overtake Quantity</w:t>
      </w:r>
      <w:r>
        <w:rPr>
          <w:sz w:val="22"/>
        </w:rPr>
        <w:t>:  Customer, as Buyer, shall purchase on a firm basis from Company, as Seller, the Customer Overtake Quantity each Gas Day at the "HSC Spot Price (Midpoint) per MMBtu for quantities up to 10,000 MMBtu and HSC Spot Price (Common High) per MMBtu for quantities greater than 10,000 MMBtu.</w:t>
      </w:r>
    </w:p>
    <w:p>
      <w:pPr>
        <w:pStyle w:val="Normal"/>
        <w:tabs>
          <w:tab w:val="clear" w:pos="720"/>
          <w:tab w:val="left" w:pos="0" w:leader="none"/>
        </w:tabs>
        <w:jc w:val="both"/>
        <w:rPr/>
      </w:pPr>
      <w:r>
        <w:rPr>
          <w:sz w:val="22"/>
          <w:u w:val="single"/>
        </w:rPr>
        <w:t>Gas in Excess of the Quantity Specified in a Company Overtake Notice</w:t>
      </w:r>
      <w:r>
        <w:rPr>
          <w:sz w:val="22"/>
        </w:rPr>
        <w:t xml:space="preserve">:  Customer, as Buyer, shall purchase on a firm basis from Company, as Seller, all gas taken by Buyer at each Delivery Point each Gas Day during the duration of a Company Overtake Notice in excess of the quantity specified in such notice at the Unilateral Company Sale Price. </w:t>
      </w:r>
    </w:p>
    <w:p>
      <w:pPr>
        <w:pStyle w:val="Normal"/>
        <w:tabs>
          <w:tab w:val="clear" w:pos="720"/>
          <w:tab w:val="left" w:pos="0" w:leader="none"/>
        </w:tabs>
        <w:jc w:val="both"/>
        <w:rPr/>
      </w:pPr>
      <w:r>
        <w:rPr>
          <w:sz w:val="22"/>
          <w:u w:val="single"/>
        </w:rPr>
        <w:t>Customer Deficit Quantity</w:t>
      </w:r>
      <w:r>
        <w:rPr>
          <w:sz w:val="22"/>
        </w:rPr>
        <w:t>:  Company, as Buyer, shall purchase on a firm basis from Customer, as Seller, the Customer Deficit Quantity at each Delivery Point each Gas Day at the "Katy Spot Price (Midpoint)" per MMBtu for quantities up to 10,000 MMBtu and Katy Spot Price (Common Low) per MMBtu for quantities greater than 10,000 MMBtu.</w:t>
      </w:r>
    </w:p>
    <w:p>
      <w:pPr>
        <w:pStyle w:val="Normal"/>
        <w:tabs>
          <w:tab w:val="clear" w:pos="720"/>
          <w:tab w:val="left" w:pos="0" w:leader="none"/>
        </w:tabs>
        <w:jc w:val="both"/>
        <w:rPr/>
      </w:pPr>
      <w:r>
        <w:rPr>
          <w:sz w:val="22"/>
          <w:u w:val="single"/>
        </w:rPr>
        <w:t>Gas Not Taken by Customer Pursuant to a Company Deficit Notice</w:t>
      </w:r>
      <w:r>
        <w:rPr>
          <w:sz w:val="22"/>
        </w:rPr>
        <w:t>:  Company, as Buyer, shall purchase on a firm basis from Customer, as Seller, all gas not taken by Customer at each Delivery Point each Gas Day in accordance with and during the duration of a Company Deficit Notice at the Unilateral Company Purchase Price.</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4968"/>
        <w:gridCol w:w="5220"/>
      </w:tblGrid>
      <w:tr>
        <w:trPr/>
        <w:tc>
          <w:tcPr>
            <w:tcW w:w="4968" w:type="dxa"/>
            <w:tcBorders/>
          </w:tcPr>
          <w:p>
            <w:pPr>
              <w:pStyle w:val="Normal"/>
              <w:jc w:val="both"/>
              <w:rPr>
                <w:sz w:val="22"/>
              </w:rPr>
            </w:pPr>
            <w:r>
              <w:rPr>
                <w:b/>
                <w:sz w:val="22"/>
              </w:rPr>
              <w:t>PERIOD OF DELIVERY:</w:t>
            </w:r>
          </w:p>
        </w:tc>
        <w:tc>
          <w:tcPr>
            <w:tcW w:w="5220" w:type="dxa"/>
            <w:tcBorders/>
          </w:tcPr>
          <w:p>
            <w:pPr>
              <w:pStyle w:val="Normal"/>
              <w:jc w:val="both"/>
              <w:rPr>
                <w:sz w:val="22"/>
              </w:rPr>
            </w:pPr>
            <w:r>
              <w:rPr>
                <w:sz w:val="22"/>
              </w:rPr>
              <w:t>February 1, 2000 through May 31, 2001.</w:t>
            </w:r>
          </w:p>
        </w:tc>
      </w:tr>
      <w:tr>
        <w:trPr/>
        <w:tc>
          <w:tcPr>
            <w:tcW w:w="4968" w:type="dxa"/>
            <w:tcBorders/>
          </w:tcPr>
          <w:p>
            <w:pPr>
              <w:pStyle w:val="Normal"/>
              <w:snapToGrid w:val="false"/>
              <w:jc w:val="both"/>
              <w:rPr>
                <w:sz w:val="22"/>
              </w:rPr>
            </w:pPr>
            <w:r>
              <w:rPr>
                <w:sz w:val="22"/>
              </w:rPr>
            </w:r>
          </w:p>
        </w:tc>
        <w:tc>
          <w:tcPr>
            <w:tcW w:w="5220" w:type="dxa"/>
            <w:tcBorders/>
          </w:tcPr>
          <w:p>
            <w:pPr>
              <w:pStyle w:val="Normal"/>
              <w:snapToGrid w:val="false"/>
              <w:jc w:val="both"/>
              <w:rPr>
                <w:sz w:val="22"/>
              </w:rPr>
            </w:pPr>
            <w:r>
              <w:rPr>
                <w:sz w:val="22"/>
              </w:rPr>
            </w:r>
          </w:p>
        </w:tc>
      </w:tr>
      <w:tr>
        <w:trPr/>
        <w:tc>
          <w:tcPr>
            <w:tcW w:w="4968" w:type="dxa"/>
            <w:tcBorders/>
          </w:tcPr>
          <w:p>
            <w:pPr>
              <w:pStyle w:val="Normal"/>
              <w:jc w:val="both"/>
              <w:rPr>
                <w:sz w:val="22"/>
              </w:rPr>
            </w:pPr>
            <w:r>
              <w:rPr>
                <w:b/>
                <w:sz w:val="22"/>
              </w:rPr>
              <w:t>SPOT PRICE LOCATION:</w:t>
            </w:r>
          </w:p>
        </w:tc>
        <w:tc>
          <w:tcPr>
            <w:tcW w:w="5220" w:type="dxa"/>
            <w:tcBorders/>
          </w:tcPr>
          <w:p>
            <w:pPr>
              <w:pStyle w:val="Normal"/>
              <w:jc w:val="both"/>
              <w:rPr>
                <w:sz w:val="22"/>
              </w:rPr>
            </w:pPr>
            <w:r>
              <w:rPr>
                <w:sz w:val="22"/>
              </w:rPr>
              <w:t>East-Houston-Katy / Houston Ship Channel</w:t>
            </w:r>
          </w:p>
        </w:tc>
      </w:tr>
      <w:tr>
        <w:trPr/>
        <w:tc>
          <w:tcPr>
            <w:tcW w:w="4968" w:type="dxa"/>
            <w:tcBorders/>
          </w:tcPr>
          <w:p>
            <w:pPr>
              <w:pStyle w:val="Normal"/>
              <w:snapToGrid w:val="false"/>
              <w:jc w:val="both"/>
              <w:rPr>
                <w:b/>
                <w:sz w:val="22"/>
              </w:rPr>
            </w:pPr>
            <w:r>
              <w:rPr>
                <w:b/>
                <w:sz w:val="22"/>
              </w:rPr>
            </w:r>
          </w:p>
        </w:tc>
        <w:tc>
          <w:tcPr>
            <w:tcW w:w="5220" w:type="dxa"/>
            <w:tcBorders/>
          </w:tcPr>
          <w:p>
            <w:pPr>
              <w:pStyle w:val="Normal"/>
              <w:snapToGrid w:val="false"/>
              <w:jc w:val="both"/>
              <w:rPr>
                <w:b/>
                <w:sz w:val="22"/>
              </w:rPr>
            </w:pPr>
            <w:r>
              <w:rPr>
                <w:b/>
                <w:sz w:val="22"/>
              </w:rPr>
            </w:r>
          </w:p>
        </w:tc>
      </w:tr>
    </w:tbl>
    <w:p>
      <w:pPr>
        <w:pStyle w:val="Normal"/>
        <w:tabs>
          <w:tab w:val="clear" w:pos="720"/>
          <w:tab w:val="left" w:pos="0" w:leader="none"/>
          <w:tab w:val="left" w:pos="4950" w:leader="none"/>
        </w:tabs>
        <w:jc w:val="both"/>
        <w:rPr>
          <w:b/>
          <w:sz w:val="22"/>
        </w:rPr>
      </w:pPr>
      <w:r>
        <w:rPr>
          <w:b/>
          <w:sz w:val="22"/>
        </w:rPr>
        <w:t xml:space="preserve">OTHER - DEFINITIONS: </w:t>
      </w:r>
    </w:p>
    <w:p>
      <w:pPr>
        <w:pStyle w:val="Normal"/>
        <w:tabs>
          <w:tab w:val="clear" w:pos="720"/>
          <w:tab w:val="center" w:pos="10800" w:leader="none"/>
        </w:tabs>
        <w:jc w:val="both"/>
        <w:rPr/>
      </w:pPr>
      <w:r>
        <w:rPr>
          <w:sz w:val="22"/>
        </w:rPr>
        <w:t>1.  "</w:t>
      </w:r>
      <w:r>
        <w:rPr>
          <w:b/>
          <w:sz w:val="22"/>
        </w:rPr>
        <w:t>Company Deficit Notice</w:t>
      </w:r>
      <w:r>
        <w:rPr>
          <w:sz w:val="22"/>
        </w:rPr>
        <w:t>" means Company's communication with not less than twelve hours notice to Customer, whether telephonic, in writing or by facsimile, (i) requiring an immediate increase in takes at any Delivery Point to the quantity and for the duration specified in the notice, which quantity and duration shall not exceed the then scheduled volumes minus 10,000 MMBtu per Day, and (ii) setting a "</w:t>
      </w:r>
      <w:r>
        <w:rPr>
          <w:b/>
          <w:sz w:val="22"/>
        </w:rPr>
        <w:t>Unilateral Company Purchase Price</w:t>
      </w:r>
      <w:r>
        <w:rPr>
          <w:sz w:val="22"/>
        </w:rPr>
        <w:t xml:space="preserve">" determined by Company for each MMBtu of gas not taken by Customer pursuant to the Company Deficit Notice. </w:t>
      </w:r>
    </w:p>
    <w:p>
      <w:pPr>
        <w:pStyle w:val="Normal"/>
        <w:tabs>
          <w:tab w:val="clear" w:pos="720"/>
          <w:tab w:val="center" w:pos="10800" w:leader="none"/>
        </w:tabs>
        <w:jc w:val="both"/>
        <w:rPr/>
      </w:pPr>
      <w:r>
        <w:rPr>
          <w:sz w:val="22"/>
        </w:rPr>
        <w:t>2.  "</w:t>
      </w:r>
      <w:r>
        <w:rPr>
          <w:b/>
          <w:sz w:val="22"/>
        </w:rPr>
        <w:t>Customer Deficit Quantity</w:t>
      </w:r>
      <w:r>
        <w:rPr>
          <w:sz w:val="22"/>
        </w:rPr>
        <w:t xml:space="preserve">" means, per Gas Day with respect to the Delivery Points, the positive numerical difference, if any, calculated by </w:t>
      </w:r>
      <w:r>
        <w:rPr>
          <w:sz w:val="22"/>
          <w:u w:val="single"/>
        </w:rPr>
        <w:t>subtracting</w:t>
      </w:r>
      <w:r>
        <w:rPr>
          <w:sz w:val="22"/>
        </w:rPr>
        <w:t xml:space="preserve"> the actual quantity of gas in MMBtu taken by Customer at the Delivery Points </w:t>
      </w:r>
      <w:r>
        <w:rPr>
          <w:sz w:val="22"/>
          <w:u w:val="single"/>
        </w:rPr>
        <w:t>from</w:t>
      </w:r>
      <w:r>
        <w:rPr>
          <w:sz w:val="22"/>
        </w:rPr>
        <w:t xml:space="preserve"> the quantity of gas in MMBtu timely scheduled by Customer or any third party for delivery to Customer in accordance with applicable agreements and confirmed by Houston Pipe Line Company at the Delivery Points for delivery to Customer, all as scheduled, measured and allocated by Houston Pipe Line Company.</w:t>
      </w:r>
    </w:p>
    <w:p>
      <w:pPr>
        <w:pStyle w:val="Normal"/>
        <w:tabs>
          <w:tab w:val="clear" w:pos="720"/>
          <w:tab w:val="center" w:pos="10800" w:leader="none"/>
        </w:tabs>
        <w:jc w:val="both"/>
        <w:rPr/>
      </w:pPr>
      <w:r>
        <w:rPr>
          <w:sz w:val="22"/>
        </w:rPr>
        <w:t>3.  "</w:t>
      </w:r>
      <w:r>
        <w:rPr>
          <w:b/>
          <w:sz w:val="22"/>
        </w:rPr>
        <w:t>Company Overtake Notice</w:t>
      </w:r>
      <w:r>
        <w:rPr>
          <w:sz w:val="22"/>
        </w:rPr>
        <w:t>" means Company's communication with not less than twelve hours notice to Customer, whether telephonic, in writing or by facsimile, (i) requiring an immediate reduction in takes at any Delivery Point to reduce a Customer Overtake Quantity to the quantity and for the duration specified in the notice, which quantity and duration shall not be less than the then scheduled volumes plus 10,000 MMBtu per Day, and (ii) setting a "</w:t>
      </w:r>
      <w:r>
        <w:rPr>
          <w:b/>
          <w:sz w:val="22"/>
        </w:rPr>
        <w:t>Unilateral Company Sale Price</w:t>
      </w:r>
      <w:r>
        <w:rPr>
          <w:sz w:val="22"/>
        </w:rPr>
        <w:t xml:space="preserve">" determined by Company for each MMBtu of gas taken in excess of the reduced quantity for the duration specified in the notice.  </w:t>
      </w:r>
    </w:p>
    <w:p>
      <w:pPr>
        <w:pStyle w:val="Normal"/>
        <w:tabs>
          <w:tab w:val="clear" w:pos="720"/>
          <w:tab w:val="center" w:pos="10800" w:leader="none"/>
        </w:tabs>
        <w:jc w:val="both"/>
        <w:rPr/>
      </w:pPr>
      <w:r>
        <w:rPr>
          <w:sz w:val="22"/>
        </w:rPr>
        <w:t>4.  "</w:t>
      </w:r>
      <w:r>
        <w:rPr>
          <w:b/>
          <w:sz w:val="22"/>
        </w:rPr>
        <w:t>Customer Overtake Quantity</w:t>
      </w:r>
      <w:r>
        <w:rPr>
          <w:sz w:val="22"/>
        </w:rPr>
        <w:t xml:space="preserve">" means, per Gas Day with respect to the Delivery Points, the positive numerical difference, if any, calculated by </w:t>
      </w:r>
      <w:r>
        <w:rPr>
          <w:sz w:val="22"/>
          <w:u w:val="single"/>
        </w:rPr>
        <w:t>subtracting</w:t>
      </w:r>
      <w:r>
        <w:rPr>
          <w:sz w:val="22"/>
        </w:rPr>
        <w:t xml:space="preserve"> the quantity of gas in MMBtu timely scheduled by Customer or any third party for delivery to Customer in accordance with applicable agreements and confirmed by Houston Pipe Line Company at the Delivery Points for delivery to Customer </w:t>
      </w:r>
      <w:r>
        <w:rPr>
          <w:sz w:val="22"/>
          <w:u w:val="single"/>
        </w:rPr>
        <w:t>from</w:t>
      </w:r>
      <w:r>
        <w:rPr>
          <w:sz w:val="22"/>
        </w:rPr>
        <w:t xml:space="preserve"> the actual quantity of gas in MMBtu taken by Customer at the Delivery Points, all as scheduled, measured and allocated by Houston Pipe Line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22"/>
        </w:rPr>
        <w:t xml:space="preserve">5. </w:t>
      </w:r>
      <w:r>
        <w:rPr>
          <w:b/>
          <w:sz w:val="22"/>
        </w:rPr>
        <w:t>“HSC Spot Price (Common High)</w:t>
      </w:r>
      <w:r>
        <w:rPr>
          <w:sz w:val="22"/>
        </w:rPr>
        <w:t xml:space="preserve">” means the Spot Price (Common High) set forth in </w:t>
      </w:r>
      <w:r>
        <w:rPr>
          <w:sz w:val="22"/>
          <w:u w:val="single"/>
        </w:rPr>
        <w:t>Gas Daily</w:t>
      </w:r>
      <w:r>
        <w:rPr>
          <w:sz w:val="22"/>
        </w:rPr>
        <w:t>® (Financial Times Energy), or successor publication, in the column "Daily Price Survey" under Houston Ship Channel as reported on the second Gas Day following the Gas Day on which the Customer Overtake Quantity occurred; provided, if there is no common high price published on such Gas Day, but there is published a range of prices under the above column and listing, then the Spot Price (Common High) shall be deemed to be the highest price shown in the range; and provided further, if there is no price or range of prices published on such Gas Day, then the Spot Price (Common High) shall be deemed to be the common high price for the next Gas Day for which a Spot Price (Common High) can be determined in accordance herewith.</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22"/>
        </w:rPr>
        <w:t>6. “</w:t>
      </w:r>
      <w:r>
        <w:rPr>
          <w:b/>
          <w:sz w:val="22"/>
        </w:rPr>
        <w:t>Katy</w:t>
      </w:r>
      <w:r>
        <w:rPr>
          <w:sz w:val="22"/>
        </w:rPr>
        <w:t xml:space="preserve"> </w:t>
      </w:r>
      <w:r>
        <w:rPr>
          <w:b/>
          <w:sz w:val="22"/>
        </w:rPr>
        <w:t>Spot Price (Common Low)</w:t>
      </w:r>
      <w:r>
        <w:rPr>
          <w:sz w:val="22"/>
        </w:rPr>
        <w:t xml:space="preserve">” means the Spot Price (Common Low) set forth in </w:t>
      </w:r>
      <w:r>
        <w:rPr>
          <w:sz w:val="22"/>
          <w:u w:val="single"/>
        </w:rPr>
        <w:t>Gas Daily</w:t>
      </w:r>
      <w:r>
        <w:rPr>
          <w:sz w:val="22"/>
        </w:rPr>
        <w:t>® (Financial Times Energy), or successor publication, in the column "Daily Price Survey" under East-Houston-Katy as reported on the second Gas Day following the Gas Day on which the Customer Deficit Quantity occurred; provided, if there is no common low price published on such Gas Day, but there is published a range of prices under the above column and listing, then the Spot Price (Common Low) shall be deemed the lowest price shown in the range; and provided further, if there is no price or range of prices published on such Gas Day, then the Spot Price (Common Low) shall be deemed the common low price for the next Gas Day for which a Spot Price (Common Low) can be determined in accordance herewith.</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22"/>
        </w:rPr>
        <w:t xml:space="preserve">7. </w:t>
      </w:r>
      <w:r>
        <w:rPr>
          <w:b/>
          <w:sz w:val="22"/>
        </w:rPr>
        <w:t>“HSC Spot Price (Midpoint)</w:t>
      </w:r>
      <w:r>
        <w:rPr>
          <w:sz w:val="22"/>
        </w:rPr>
        <w:t xml:space="preserve">” means the Spot Price (Midpoint) set forth in </w:t>
      </w:r>
      <w:r>
        <w:rPr>
          <w:sz w:val="22"/>
          <w:u w:val="single"/>
        </w:rPr>
        <w:t>Gas Daily</w:t>
      </w:r>
      <w:r>
        <w:rPr>
          <w:sz w:val="22"/>
        </w:rPr>
        <w:t>® (Financial Times Energy), or successor publication, in the column "Daily Price Survey" under Houston Ship Channel as reported on the second Gas Day following the Gas Day on which the Customer Overtake Quantity occurred; provided, if there is no midpoint price published on such Gas Day, then the Spot Price (Midpoint) shall be deemed to be the midpoint price for the next Gas Day for which a Spot Price (Midpoint) can be determined in accordance herewith.</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22"/>
        </w:rPr>
        <w:t>8. “</w:t>
      </w:r>
      <w:r>
        <w:rPr>
          <w:b/>
          <w:sz w:val="22"/>
        </w:rPr>
        <w:t>Katy Spot Price (Midpoint)</w:t>
      </w:r>
      <w:r>
        <w:rPr>
          <w:sz w:val="22"/>
        </w:rPr>
        <w:t xml:space="preserve">” means the Spot Price (Midpoint) set forth in </w:t>
      </w:r>
      <w:r>
        <w:rPr>
          <w:sz w:val="22"/>
          <w:u w:val="single"/>
        </w:rPr>
        <w:t>Gas Daily</w:t>
      </w:r>
      <w:r>
        <w:rPr>
          <w:sz w:val="22"/>
        </w:rPr>
        <w:t>® (Financial Times Energy), or successor publication, in the column "Daily Price Survey" under East-Houston-Katy as reported on the second Gas Day following the Gas Day on which the Customer Deficit Quantity occurred; provided, if there is no midpoint price published on such Gas Day, then the Spot Price (Midpoint) shall be deemed the midpoint price for the next Gas Day for which a Spot Price (Midpoint) can be determined in accordance herewith.</w:t>
      </w:r>
    </w:p>
    <w:p>
      <w:pPr>
        <w:pStyle w:val="Normal"/>
        <w:numPr>
          <w:ilvl w:val="0"/>
          <w:numId w:val="1"/>
        </w:numPr>
        <w:tabs>
          <w:tab w:val="clear" w:pos="720"/>
          <w:tab w:val="left" w:pos="4860" w:leader="none"/>
        </w:tabs>
        <w:jc w:val="both"/>
        <w:rPr>
          <w:sz w:val="22"/>
        </w:rPr>
      </w:pPr>
      <w:r>
        <w:rPr>
          <w:sz w:val="22"/>
        </w:rPr>
        <w:t>“</w:t>
      </w:r>
      <w:r>
        <w:rPr>
          <w:b/>
          <w:sz w:val="22"/>
        </w:rPr>
        <w:t>Gas Day</w:t>
      </w:r>
      <w:r>
        <w:rPr>
          <w:sz w:val="22"/>
        </w:rPr>
        <w:t>” means the Day the Gas flowed.</w:t>
      </w:r>
    </w:p>
    <w:p>
      <w:pPr>
        <w:pStyle w:val="Normal"/>
        <w:tabs>
          <w:tab w:val="clear" w:pos="720"/>
          <w:tab w:val="left" w:pos="4860" w:leader="none"/>
        </w:tabs>
        <w:jc w:val="both"/>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22"/>
        </w:rPr>
        <w:tab/>
        <w:t xml:space="preserve">This Transaction Agreement No. EC32 is being provided pursuant to and in accordance with the Master Purchase/Sale Agreement dated effective as of May 1, 1994 between Customer (assignee of Millennium Petrochemicals Inc. formerly Quantum Chemical Corporation) and Company (assignee of HPL Resources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sz w:val="22"/>
          <w:u w:val="single"/>
        </w:rPr>
        <w:t>Section 2.2(i)</w:t>
      </w:r>
      <w:r>
        <w:rPr>
          <w:sz w:val="22"/>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r>
    </w:p>
    <w:p>
      <w:pPr>
        <w:pStyle w:val="Normal"/>
        <w:tabs>
          <w:tab w:val="clear" w:pos="720"/>
          <w:tab w:val="left" w:pos="3960" w:leader="none"/>
          <w:tab w:val="left" w:pos="5280" w:leader="none"/>
          <w:tab w:val="left" w:pos="9180" w:leader="none"/>
        </w:tabs>
        <w:jc w:val="both"/>
        <w:rPr>
          <w:sz w:val="22"/>
        </w:rPr>
      </w:pPr>
      <w:r>
        <w:rPr>
          <w:sz w:val="22"/>
        </w:rPr>
      </w:r>
    </w:p>
    <w:tbl>
      <w:tblPr>
        <w:tblW w:w="5328" w:type="dxa"/>
        <w:jc w:val="start"/>
        <w:tblInd w:w="4590" w:type="dxa"/>
        <w:tblLayout w:type="fixed"/>
        <w:tblCellMar>
          <w:top w:w="0" w:type="dxa"/>
          <w:start w:w="108" w:type="dxa"/>
          <w:bottom w:w="0" w:type="dxa"/>
          <w:end w:w="108" w:type="dxa"/>
        </w:tblCellMar>
      </w:tblPr>
      <w:tblGrid>
        <w:gridCol w:w="5328"/>
      </w:tblGrid>
      <w:tr>
        <w:trPr/>
        <w:tc>
          <w:tcPr>
            <w:tcW w:w="5328" w:type="dxa"/>
            <w:tcBorders/>
          </w:tcPr>
          <w:p>
            <w:pPr>
              <w:pStyle w:val="Normal"/>
              <w:keepNext w:val="true"/>
              <w:tabs>
                <w:tab w:val="clear" w:pos="720"/>
                <w:tab w:val="left" w:pos="4770" w:leader="none"/>
                <w:tab w:val="left" w:pos="4968" w:leader="none"/>
                <w:tab w:val="left" w:pos="9468" w:leader="none"/>
              </w:tabs>
              <w:ind w:firstLine="180" w:start="-180" w:end="0"/>
              <w:jc w:val="both"/>
              <w:rPr>
                <w:sz w:val="22"/>
              </w:rPr>
            </w:pPr>
            <w:r>
              <w:rPr>
                <w:sz w:val="22"/>
              </w:rPr>
              <w:t>HOUSTON PIPE LINE COMPANY</w:t>
            </w:r>
          </w:p>
        </w:tc>
      </w:tr>
      <w:tr>
        <w:trPr/>
        <w:tc>
          <w:tcPr>
            <w:tcW w:w="5328" w:type="dxa"/>
            <w:tcBorders/>
          </w:tcPr>
          <w:p>
            <w:pPr>
              <w:pStyle w:val="Normal"/>
              <w:keepNext w:val="true"/>
              <w:tabs>
                <w:tab w:val="clear" w:pos="720"/>
                <w:tab w:val="left" w:pos="4770" w:leader="none"/>
                <w:tab w:val="left" w:pos="4968" w:leader="none"/>
                <w:tab w:val="left" w:pos="9468" w:leader="none"/>
              </w:tabs>
              <w:snapToGrid w:val="false"/>
              <w:jc w:val="both"/>
              <w:rPr>
                <w:sz w:val="22"/>
              </w:rPr>
            </w:pPr>
            <w:r>
              <w:rPr>
                <w:sz w:val="22"/>
              </w:rPr>
            </w:r>
          </w:p>
        </w:tc>
      </w:tr>
      <w:tr>
        <w:trPr/>
        <w:tc>
          <w:tcPr>
            <w:tcW w:w="5328" w:type="dxa"/>
            <w:tcBorders/>
          </w:tcPr>
          <w:p>
            <w:pPr>
              <w:pStyle w:val="Normal"/>
              <w:tabs>
                <w:tab w:val="clear" w:pos="720"/>
                <w:tab w:val="left" w:pos="4770" w:leader="none"/>
                <w:tab w:val="left" w:pos="4968" w:leader="none"/>
                <w:tab w:val="left" w:pos="9468" w:leader="none"/>
              </w:tabs>
              <w:jc w:val="both"/>
              <w:rPr>
                <w:sz w:val="22"/>
              </w:rPr>
            </w:pPr>
            <w:r>
              <w:rPr>
                <w:sz w:val="22"/>
              </w:rPr>
              <w:t xml:space="preserve">By: </w:t>
            </w:r>
            <w:r>
              <w:rPr>
                <w:sz w:val="22"/>
                <w:u w:val="single"/>
              </w:rPr>
              <w:tab/>
            </w:r>
          </w:p>
        </w:tc>
      </w:tr>
      <w:tr>
        <w:trPr/>
        <w:tc>
          <w:tcPr>
            <w:tcW w:w="5328" w:type="dxa"/>
            <w:tcBorders/>
          </w:tcPr>
          <w:p>
            <w:pPr>
              <w:pStyle w:val="Normal"/>
              <w:tabs>
                <w:tab w:val="clear" w:pos="720"/>
                <w:tab w:val="left" w:pos="4770" w:leader="none"/>
                <w:tab w:val="left" w:pos="4968" w:leader="none"/>
                <w:tab w:val="left" w:pos="9468" w:leader="none"/>
              </w:tabs>
              <w:jc w:val="both"/>
              <w:rPr>
                <w:sz w:val="22"/>
              </w:rPr>
            </w:pPr>
            <w:r>
              <w:rPr>
                <w:sz w:val="22"/>
              </w:rPr>
              <w:t xml:space="preserve">Title </w:t>
            </w:r>
            <w:r>
              <w:rPr>
                <w:sz w:val="22"/>
                <w:u w:val="single"/>
              </w:rPr>
              <w:tab/>
            </w:r>
          </w:p>
        </w:tc>
      </w:tr>
      <w:tr>
        <w:trPr/>
        <w:tc>
          <w:tcPr>
            <w:tcW w:w="5328" w:type="dxa"/>
            <w:tcBorders/>
          </w:tcPr>
          <w:p>
            <w:pPr>
              <w:pStyle w:val="Normal"/>
              <w:tabs>
                <w:tab w:val="clear" w:pos="720"/>
                <w:tab w:val="left" w:pos="4770" w:leader="none"/>
              </w:tabs>
              <w:jc w:val="center"/>
              <w:rPr>
                <w:sz w:val="22"/>
              </w:rPr>
            </w:pPr>
            <w:r>
              <w:rPr>
                <w:sz w:val="22"/>
              </w:rPr>
              <w:t>"Company"</w:t>
            </w:r>
          </w:p>
        </w:tc>
      </w:tr>
      <w:tr>
        <w:trPr/>
        <w:tc>
          <w:tcPr>
            <w:tcW w:w="5328" w:type="dxa"/>
            <w:tcBorders/>
          </w:tcPr>
          <w:p>
            <w:pPr>
              <w:pStyle w:val="Normal"/>
              <w:tabs>
                <w:tab w:val="clear" w:pos="720"/>
                <w:tab w:val="left" w:pos="4770" w:leader="none"/>
              </w:tabs>
              <w:snapToGrid w:val="false"/>
              <w:jc w:val="both"/>
              <w:rPr>
                <w:sz w:val="22"/>
              </w:rPr>
            </w:pPr>
            <w:r>
              <w:rPr>
                <w:sz w:val="22"/>
              </w:rPr>
            </w:r>
          </w:p>
        </w:tc>
      </w:tr>
      <w:tr>
        <w:trPr/>
        <w:tc>
          <w:tcPr>
            <w:tcW w:w="5328" w:type="dxa"/>
            <w:tcBorders/>
          </w:tcPr>
          <w:p>
            <w:pPr>
              <w:pStyle w:val="Normal"/>
              <w:tabs>
                <w:tab w:val="clear" w:pos="720"/>
                <w:tab w:val="left" w:pos="4770" w:leader="none"/>
              </w:tabs>
              <w:jc w:val="both"/>
              <w:rPr>
                <w:sz w:val="22"/>
              </w:rPr>
            </w:pPr>
            <w:r>
              <w:rPr>
                <w:sz w:val="22"/>
              </w:rPr>
              <w:t>EQUISTAR CHEMICALS, LP</w:t>
            </w:r>
          </w:p>
          <w:p>
            <w:pPr>
              <w:pStyle w:val="Normal"/>
              <w:tabs>
                <w:tab w:val="clear" w:pos="720"/>
                <w:tab w:val="left" w:pos="4770" w:leader="none"/>
              </w:tabs>
              <w:jc w:val="both"/>
              <w:rPr>
                <w:sz w:val="22"/>
              </w:rPr>
            </w:pPr>
            <w:r>
              <w:rPr>
                <w:sz w:val="22"/>
              </w:rPr>
            </w:r>
          </w:p>
          <w:p>
            <w:pPr>
              <w:pStyle w:val="Normal"/>
              <w:tabs>
                <w:tab w:val="clear" w:pos="720"/>
                <w:tab w:val="left" w:pos="4770" w:leader="none"/>
              </w:tabs>
              <w:jc w:val="both"/>
              <w:rPr>
                <w:sz w:val="22"/>
              </w:rPr>
            </w:pPr>
            <w:r>
              <w:rPr>
                <w:sz w:val="22"/>
              </w:rPr>
              <w:t xml:space="preserve">By:________________________________      </w:t>
            </w:r>
          </w:p>
          <w:p>
            <w:pPr>
              <w:pStyle w:val="Normal"/>
              <w:tabs>
                <w:tab w:val="clear" w:pos="720"/>
                <w:tab w:val="left" w:pos="4770" w:leader="none"/>
              </w:tabs>
              <w:jc w:val="both"/>
              <w:rPr>
                <w:sz w:val="22"/>
              </w:rPr>
            </w:pPr>
            <w:r>
              <w:rPr>
                <w:sz w:val="22"/>
              </w:rPr>
              <w:t>Title: _______________________________</w:t>
            </w:r>
          </w:p>
        </w:tc>
      </w:tr>
      <w:tr>
        <w:trPr/>
        <w:tc>
          <w:tcPr>
            <w:tcW w:w="5328" w:type="dxa"/>
            <w:tcBorders/>
          </w:tcPr>
          <w:p>
            <w:pPr>
              <w:pStyle w:val="Normal"/>
              <w:tabs>
                <w:tab w:val="clear" w:pos="720"/>
                <w:tab w:val="left" w:pos="4770" w:leader="none"/>
                <w:tab w:val="left" w:pos="4968" w:leader="none"/>
                <w:tab w:val="left" w:pos="9468" w:leader="none"/>
              </w:tabs>
              <w:jc w:val="center"/>
              <w:rPr>
                <w:sz w:val="22"/>
              </w:rPr>
            </w:pPr>
            <w:r>
              <w:rPr>
                <w:sz w:val="22"/>
              </w:rPr>
              <w:t>"Customer"</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008" w:right="1152" w:gutter="0" w:header="72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both"/>
      <w:rPr>
        <w:sz w:val="14"/>
      </w:rPr>
    </w:pPr>
    <w:r>
      <w:rPr>
        <w:sz w:val="14"/>
      </w:rPr>
    </w:r>
  </w:p>
  <w:p>
    <w:pPr>
      <w:pStyle w:val="Normal"/>
      <w:tabs>
        <w:tab w:val="clear" w:pos="720"/>
        <w:tab w:val="left" w:pos="4320" w:leader="none"/>
        <w:tab w:val="left" w:pos="8280" w:leader="none"/>
      </w:tabs>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/mnt/main-storage/datasets/enron-docs/doc/2000_21crfm.doc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both"/>
      <w:rPr>
        <w:sz w:val="14"/>
      </w:rPr>
    </w:pPr>
    <w:r>
      <w:rPr>
        <w:sz w:val="14"/>
      </w:rPr>
    </w:r>
  </w:p>
  <w:p>
    <w:pPr>
      <w:pStyle w:val="Normal"/>
      <w:tabs>
        <w:tab w:val="clear" w:pos="720"/>
        <w:tab w:val="left" w:pos="4320" w:leader="none"/>
        <w:tab w:val="left" w:pos="8280" w:leader="none"/>
      </w:tabs>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/mnt/main-storage/datasets/enron-docs/doc/2000_21crfm.doc</w:t>
    </w:r>
    <w:r>
      <w:rPr>
        <w:sz w:val="14"/>
      </w:rPr>
      <w:fldChar w:fldCharType="end"/>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Equistar Chemicals, LP</w:t>
    </w:r>
  </w:p>
  <w:p>
    <w:pPr>
      <w:pStyle w:val="Header"/>
      <w:rPr>
        <w:rFonts w:ascii="Times New Roman" w:hAnsi="Times New Roman" w:cs="Times New Roman"/>
        <w:sz w:val="22"/>
      </w:rPr>
    </w:pPr>
    <w:r>
      <w:rPr>
        <w:rFonts w:cs="Times New Roman" w:ascii="Times New Roman" w:hAnsi="Times New Roman"/>
        <w:sz w:val="22"/>
      </w:rPr>
      <w:t>January 26, 2001</w:t>
    </w:r>
  </w:p>
  <w:p>
    <w:pPr>
      <w:pStyle w:val="Header"/>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pPr>
    <w:r>
      <w:rPr/>
      <w:t>_____________________________</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2000-02-16T17:24:00Z</dcterms:created>
  <dc:creator>Daniel J. Hyvl</dc:creator>
  <dc:description/>
  <dc:language>en-CA</dc:language>
  <cp:lastModifiedBy>jhelton</cp:lastModifiedBy>
  <cp:lastPrinted>2001-01-26T10:53:00Z</cp:lastPrinted>
  <dcterms:modified xsi:type="dcterms:W3CDTF">2001-01-26T14:27:00Z</dcterms:modified>
  <cp:revision>7</cp:revision>
  <dc:subject/>
  <dc:title>March 5, 1998</dc:title>
</cp:coreProperties>
</file>