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bCs/>
          <w:sz w:val="18"/>
        </w:rPr>
        <w:t>HOUSTON PIPE LINE COMPANY</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MOBIL OIL CORPORATION</w:t>
      </w:r>
      <w:r>
        <w:rPr>
          <w:rFonts w:cs="Arial Narrow" w:ascii="Arial Narrow" w:hAnsi="Arial Narrow"/>
          <w:sz w:val="18"/>
        </w:rPr>
        <w:t>, a New York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Notwithstanding the other provisions in this Agreement permitting recorded telephonic Transactions, the Parties agree that every Transaction, other than NYMEX Exchange of Futures for Physicals Transactions and Transactions having a Period of Delivery of one month or less, shall be formed and effectuated by a written paper-based Transaction Agreement until such time as the Parties execute an amendment to this Agreement allowing recorded telephonic Transactions in all instances hereunder.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material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thirty (30)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$50,000,000, or with respect to Customer, at any time, Mobil Corp. shall have defaulted on its indebted</w:t>
        <w:softHyphen/>
        <w:t>ness to third parties, resulting in an acceleration of obligations of Mobil Corp.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nor shall any provision obligate either Seller or Buyer to replace any plant, equipment, wells, or other facilities if to do so is not commercially reasonable.  It is understood and agreed that the settlement of any strikes or lockouts shall be entirely within the discretion of the Party having the difficulty, and that the above reasonable diligence and dispatch shall not require the settlement of strikes by acceding to the demand of the opposing party when such course is or is deemed to be inadvisable or inappropriate in the discretion of the party having the difficulty.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until the time the same shall have been delivered to Buyer.  After delivery of Gas to Buyer at the Delivery Point(s), Buyer shall be deemed to be in exclusive control and possession thereof.  As between the Parties, each Party shall have responsibility for the Gas handled hereunder and for any liability that may arise while the Gas is in its control and possession, including liability for any injury, death, or damage, except that neither Party shall have any liability resulting from the other Party’s gross negligence, willful misconduct or bad faith of the other party.  Title to Gas Scheduled hereunder shall pass from Seller to Buyer at the Delivery Point(s).  Seller hereby warrants that at the time of delivery of Gas hereunder at the Delivery Point(s) that it will have good title to or the good right to deliver such Gas, and that such Gas shall be free and clear of all liens and adverse claims, and Seller shall be responsible to timely pay the proceeds derived form the sale of the Gas under this Agreement to any persons or companies legally entitled to such proceeds in accordance with applicable Texas laws and regulations.  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OF TITLE, PERSONAL INJURY OR PROPERTY DAMAGE FROM SAID GAS OR OTHER CHARGES THEREON WHICH ATTACH AFTER TITLE PASSES TO BUYER.  IT IS THE INTENT OF THE PARTIES THAT NEITHER PARTY SHALL BE LIABLE IN RESPECT OF ANY CLAIM TO THE EXTENT SAME RESULTED FROM THE GROSS NEGLIGENCE, WILLFUL MISCONDUCT OR BAD FAITH OF THE INDEMNIFIED PARTY.  FURTHER, UNDER NO CIRCUMSTANCES, SHALL BUYER BE REQUIRED TO INDEMNIFY SELLER FOR CLAIMS ARISING FROM THE FAILURE OF THE GAS TO MEET THE QUALITY SPECIFICATIONS OF THIS AGREEMENT PRIOR TO THE TIME TITLE PASSES TO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Prior Agreement</w:t>
      </w:r>
      <w:r>
        <w:rPr>
          <w:rFonts w:cs="Arial Narrow" w:ascii="Arial Narrow" w:hAnsi="Arial Narrow"/>
          <w:sz w:val="18"/>
        </w:rPr>
        <w:t>.  Reference is here made to that certain Enfolio® Master Firm Purchase/Sale Agreement dated effective as of October 1, 1995 (the “Prior Agreement”) by and between Mobil Oil Corporation, as Customer, and Houston Pipe Line Company (assignee of HPL Resources Company) and to the Guaranty Agreement provided by Enron Corp. (the “Prior Guaranty”) with regard to such Prior Agreement.  Upon the execution and delivery of the Parties of this Agreement including the Guaranty Agreement attached hereto, all unexpired Transactions in effect that have been provided pursuant to the Prior Agreement shall be automatically deemed to be Transactions provided pursuant to this Agreement and the Prior Agreement and the Prior Guaranty shall thereafter be deemed cancelled, terminated and of no force and effect whatsoever without any further action by any of the parties 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MOBIL OIL CORPORATION</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/mnt/main-storage/datasets/enron-docs/doc/2000_15ctr.doc</w:t>
      </w:r>
      <w:r>
        <w:rPr>
          <w:sz w:val="18"/>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such as acts of God; strikes, lockouts, insurrections, civil disturbances, and riots, and epidemics; landslides, lightning, earthquakes, fires, storms, hurricanes and threats of hurricanes, floods and washouts; arrests, orders, directives, restraints and requirements of the government and governmental agencies, either federal or state, civil and military; any application of governmental conservation or curtailment rules and regulations; breakdown or accident to machinery or lines of pipe; outages (shutdowns) of power, plant equipment or lines of pipe for inspection, unscheduled maintenance or repair of wells, gas supply or depletion of gas reserves; and other causes of a similar nature, which event is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any mixture of hydrocarbons and non-combustible gases in a gaseous state consisting primarily of methane meeting the quality standards and specifications of Company.</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Mobil Corp. shall have long-term debt unsupported by third party credit enhancement that is rated by Standard &amp; Poor's Corporation below BBB- or (ii) with respect to Company, Company’s Guarantor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Company’s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 (the "</w:t>
      </w:r>
      <w:r>
        <w:rPr>
          <w:rFonts w:cs="Arial Narrow" w:ascii="Arial Narrow" w:hAnsi="Arial Narrow"/>
          <w:sz w:val="18"/>
          <w:u w:val="single"/>
        </w:rPr>
        <w:t>Measuring Party</w:t>
      </w:r>
      <w:r>
        <w:rPr>
          <w:rFonts w:cs="Arial Narrow" w:ascii="Arial Narrow" w:hAnsi="Arial Narrow"/>
          <w:sz w:val="18"/>
        </w:rPr>
        <w:t>") shall measure Gas purchased and sold hereunder.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Company’s Guarantor containing consolidated financial statements for such fiscal year certified by independent certified public accountants and (ii) within 60 Days after the end of each of its first three fiscal quarters of each fiscal year, a copy of the quarterly report of Company’s Guarantor containing unaudited consolidated financial statements for such fiscal quarter.  If requested by Company, Customer shall deliver (i) within 120 Days following the end of each fiscal year, a copy of Mobil Corp.’s annual report containing consolidated financial statements for such fiscal year certified by independent certified public accountants and (ii) within 60 Days after the end of each of Mobil Corp.’s first three fiscal quarters of each fiscal year, a copy of Mobil Corp.’s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Mobil Oil Corporation</w:t>
      </w:r>
    </w:p>
    <w:p>
      <w:pPr>
        <w:pStyle w:val="Normal"/>
        <w:jc w:val="both"/>
        <w:rPr>
          <w:rFonts w:ascii="Arial Narrow" w:hAnsi="Arial Narrow" w:cs="Arial Narrow"/>
          <w:sz w:val="18"/>
        </w:rPr>
      </w:pPr>
      <w:r>
        <w:rPr>
          <w:rFonts w:cs="Arial Narrow" w:ascii="Arial Narrow" w:hAnsi="Arial Narrow"/>
          <w:sz w:val="18"/>
        </w:rPr>
        <w:t>P. O. Box 3311</w:t>
      </w:r>
    </w:p>
    <w:p>
      <w:pPr>
        <w:pStyle w:val="Normal"/>
        <w:jc w:val="both"/>
        <w:rPr>
          <w:rFonts w:ascii="Arial Narrow" w:hAnsi="Arial Narrow" w:cs="Arial Narrow"/>
          <w:sz w:val="18"/>
        </w:rPr>
      </w:pPr>
      <w:r>
        <w:rPr>
          <w:rFonts w:cs="Arial Narrow" w:ascii="Arial Narrow" w:hAnsi="Arial Narrow"/>
          <w:sz w:val="18"/>
        </w:rPr>
        <w:t>Beaumont, Texas 77704</w:t>
      </w:r>
    </w:p>
    <w:p>
      <w:pPr>
        <w:pStyle w:val="Normal"/>
        <w:jc w:val="both"/>
        <w:rPr>
          <w:rFonts w:ascii="Arial Narrow" w:hAnsi="Arial Narrow" w:cs="Arial Narrow"/>
          <w:sz w:val="18"/>
        </w:rPr>
      </w:pPr>
      <w:r>
        <w:rPr>
          <w:rFonts w:cs="Arial Narrow" w:ascii="Arial Narrow" w:hAnsi="Arial Narrow"/>
          <w:sz w:val="18"/>
        </w:rPr>
        <w:t>Attn:  Harry Sinesi</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Mobil Oil Corporation</w:t>
      </w:r>
    </w:p>
    <w:p>
      <w:pPr>
        <w:pStyle w:val="Normal"/>
        <w:jc w:val="both"/>
        <w:rPr>
          <w:rFonts w:ascii="Arial Narrow" w:hAnsi="Arial Narrow" w:cs="Arial Narrow"/>
          <w:sz w:val="18"/>
        </w:rPr>
      </w:pPr>
      <w:r>
        <w:rPr>
          <w:rFonts w:cs="Arial Narrow" w:ascii="Arial Narrow" w:hAnsi="Arial Narrow"/>
          <w:sz w:val="18"/>
        </w:rPr>
        <w:t>P. O. Box 3311</w:t>
      </w:r>
    </w:p>
    <w:p>
      <w:pPr>
        <w:pStyle w:val="Normal"/>
        <w:jc w:val="both"/>
        <w:rPr>
          <w:rFonts w:ascii="Arial Narrow" w:hAnsi="Arial Narrow" w:cs="Arial Narrow"/>
          <w:sz w:val="18"/>
        </w:rPr>
      </w:pPr>
      <w:r>
        <w:rPr>
          <w:rFonts w:cs="Arial Narrow" w:ascii="Arial Narrow" w:hAnsi="Arial Narrow"/>
          <w:sz w:val="18"/>
        </w:rPr>
        <w:t>Beaumont, Texas 77704</w:t>
      </w:r>
    </w:p>
    <w:p>
      <w:pPr>
        <w:pStyle w:val="Normal"/>
        <w:jc w:val="both"/>
        <w:rPr>
          <w:rFonts w:ascii="Arial Narrow" w:hAnsi="Arial Narrow" w:cs="Arial Narrow"/>
          <w:sz w:val="18"/>
        </w:rPr>
      </w:pPr>
      <w:r>
        <w:rPr>
          <w:rFonts w:cs="Arial Narrow" w:ascii="Arial Narrow" w:hAnsi="Arial Narrow"/>
          <w:sz w:val="18"/>
        </w:rPr>
        <w:t>Attn:  Harry Sinesi</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Mobil Oil Corporation, a New York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Houston Pipe Line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ENRON CORP.</w:t>
        <w:tab/>
        <w:tab/>
        <w:tab/>
        <w:tab/>
        <w:tab/>
        <w:t>MOBIL OIL CORPORATION</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2000-11-01T20:57:00Z</dcterms:created>
  <dc:creator>jdobern</dc:creator>
  <dc:description/>
  <dc:language>en-CA</dc:language>
  <cp:lastModifiedBy>dhyvl</cp:lastModifiedBy>
  <cp:lastPrinted>1999-09-16T15:58:00Z</cp:lastPrinted>
  <dcterms:modified xsi:type="dcterms:W3CDTF">2000-11-02T12:03:00Z</dcterms:modified>
  <cp:revision>8</cp:revision>
  <dc:subject/>
  <dc:title>SAMPLE CONTRACT</dc:title>
</cp:coreProperties>
</file>