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Global Number 96002201</w:t>
      </w:r>
    </w:p>
    <w:p>
      <w:pPr>
        <w:pStyle w:val="Normal"/>
        <w:jc w:val="end"/>
        <w:rPr/>
      </w:pPr>
      <w:r>
        <w:rPr/>
        <w:t>Amendment No. _______</w:t>
      </w:r>
    </w:p>
    <w:p>
      <w:pPr>
        <w:pStyle w:val="Normal"/>
        <w:jc w:val="center"/>
        <w:rPr/>
      </w:pPr>
      <w:r>
        <w:rPr/>
      </w:r>
    </w:p>
    <w:p>
      <w:pPr>
        <w:pStyle w:val="Normal"/>
        <w:jc w:val="center"/>
        <w:rPr/>
      </w:pPr>
      <w:r>
        <w:rPr/>
      </w:r>
    </w:p>
    <w:p>
      <w:pPr>
        <w:pStyle w:val="Normal"/>
        <w:jc w:val="center"/>
        <w:rPr>
          <w:u w:val="single"/>
        </w:rPr>
      </w:pPr>
      <w:r>
        <w:rPr>
          <w:u w:val="single"/>
        </w:rPr>
        <w:t>GAS SALES CONTRACT AMENDMENT</w:t>
      </w:r>
    </w:p>
    <w:p>
      <w:pPr>
        <w:pStyle w:val="Normal"/>
        <w:jc w:val="both"/>
        <w:rPr/>
      </w:pPr>
      <w:r>
        <w:rPr/>
      </w:r>
    </w:p>
    <w:p>
      <w:pPr>
        <w:pStyle w:val="Normal"/>
        <w:spacing w:lineRule="auto" w:line="480"/>
        <w:jc w:val="both"/>
        <w:rPr/>
      </w:pPr>
      <w:r>
        <w:rPr/>
        <w:tab/>
        <w:t>THIS AMENDMENT, made and entered into effective as of the 1st day of January, 2001 by and between Houston Pipe Line Company, a Delaware corporation, hereinafter referred to as “Seller”, and Union Carbide Corporation, a corporation, hereinafter referred to as “Buyer”;</w:t>
      </w:r>
    </w:p>
    <w:p>
      <w:pPr>
        <w:pStyle w:val="Normal"/>
        <w:spacing w:lineRule="auto" w:line="480"/>
        <w:jc w:val="center"/>
        <w:rPr>
          <w:b/>
          <w:bCs/>
        </w:rPr>
      </w:pPr>
      <w:r>
        <w:rPr>
          <w:b/>
          <w:bCs/>
        </w:rPr>
        <w:t>W I T N E S S E T H:</w:t>
      </w:r>
    </w:p>
    <w:p>
      <w:pPr>
        <w:pStyle w:val="Normal"/>
        <w:spacing w:lineRule="auto" w:line="480"/>
        <w:jc w:val="both"/>
        <w:rPr/>
      </w:pPr>
      <w:r>
        <w:rPr/>
        <w:tab/>
        <w:t>THAT WHEREAS, Enron Industrial Natural Gas Company and Buyer (formerly Union Carbide Chemicals and Plastics Company, Inc.) entered into that certain Gas Sales Contract effective and operative as of January 1, 1990, as amended (the “Contract”), covering the sale and purchase of natural gas to be used in and for the operation of Buyer’s facilities at Texas City in Galveston County, Texas and at Seadrift in Matagorda County, Texas; and</w:t>
      </w:r>
    </w:p>
    <w:p>
      <w:pPr>
        <w:pStyle w:val="Normal"/>
        <w:spacing w:lineRule="auto" w:line="480"/>
        <w:jc w:val="both"/>
        <w:rPr/>
      </w:pPr>
      <w:r>
        <w:rPr/>
        <w:tab/>
        <w:t>WHEREAS, the interests of Enron Industrial Natural Gas Company have been assigned to Seller; and</w:t>
      </w:r>
    </w:p>
    <w:p>
      <w:pPr>
        <w:pStyle w:val="Normal"/>
        <w:spacing w:lineRule="auto" w:line="480"/>
        <w:ind w:firstLine="720" w:end="0"/>
        <w:jc w:val="both"/>
        <w:rPr/>
      </w:pPr>
      <w:r>
        <w:rPr/>
        <w:t xml:space="preserve">WHEREAS. Buyer and Seller express a mutual desire to amend the Contract as hereinafter provided. </w:t>
      </w:r>
    </w:p>
    <w:p>
      <w:pPr>
        <w:pStyle w:val="Normal"/>
        <w:spacing w:lineRule="auto" w:line="480"/>
        <w:jc w:val="both"/>
        <w:rPr/>
      </w:pPr>
      <w:r>
        <w:rPr/>
        <w:tab/>
        <w:t>NOW, THEREFORE, in consideration of the sum of Ten Dollars ($10.00) in hand paid by Buyer to Seller, the receipt and sufficiency of which are hereby acknowledged, and of the mutual covenants and agreements herein set forth, the parties hereto agree that, effective as of the date first hereinabove written, the Contract is amended as follows:</w:t>
      </w:r>
    </w:p>
    <w:p>
      <w:pPr>
        <w:pStyle w:val="Normal"/>
        <w:spacing w:lineRule="auto" w:line="480"/>
        <w:jc w:val="both"/>
        <w:rPr/>
      </w:pPr>
      <w:r>
        <w:rPr/>
        <w:tab/>
        <w:t>1.</w:t>
        <w:tab/>
        <w:t xml:space="preserve">Paragraphs 2.a and 2.b of Section 2, </w:t>
      </w:r>
      <w:r>
        <w:rPr>
          <w:u w:val="single"/>
        </w:rPr>
        <w:t>Quantity</w:t>
      </w:r>
      <w:r>
        <w:rPr/>
        <w:t>, of the Contract are amended by deleting the same in their entirety and substituting therefore the following, to-wit:</w:t>
      </w:r>
    </w:p>
    <w:p>
      <w:pPr>
        <w:pStyle w:val="Normal"/>
        <w:ind w:start="720" w:end="720"/>
        <w:jc w:val="both"/>
        <w:rPr/>
      </w:pPr>
      <w:r>
        <w:rPr/>
        <w:t xml:space="preserve"> “</w:t>
      </w:r>
      <w:r>
        <w:rPr/>
        <w:t>2.a</w:t>
        <w:tab/>
        <w:t>Subject to the other provisions hereof, Buyer agrees to purchase and receive, or cause to be received, hereunder from Seller on a firm basis, and Seller agrees to sell and deliver, or cause to be delivered, hereunder to Buyer on a firm basis, at the Points of Delivery identified under (i) and (ii) of Paragraph 3.a hereof, a quantity of natural gas (“Base Volume Gas”) each day during the term hereof which, when averaged on a monthly basis, equals 10,000 MMBtu of gas per day; provided, however, that Seller shall not be obligated to sell and deliver hereunder to Buyer natural gas at a rate of delivery in excess of 500 MMBtu of gas per hour.</w:t>
      </w:r>
    </w:p>
    <w:p>
      <w:pPr>
        <w:pStyle w:val="Normal"/>
        <w:ind w:start="720" w:end="720"/>
        <w:jc w:val="both"/>
        <w:rPr/>
      </w:pPr>
      <w:r>
        <w:rPr/>
      </w:r>
    </w:p>
    <w:p>
      <w:pPr>
        <w:pStyle w:val="Normal"/>
        <w:ind w:start="720" w:end="720"/>
        <w:jc w:val="both"/>
        <w:rPr/>
      </w:pPr>
      <w:r>
        <w:rPr/>
        <w:t>2.b</w:t>
        <w:tab/>
        <w:t>Subject to the other provisions hereof and in addition to the quantity of gas provided in Paragraph 2.a hereof, Buyer agrees to purchase and receive, or cause to be received, hereunder from Seller on a firm basis, and Seller agrees to sell and deliver, or cause to be delivered, hereunder to Buyer on a firm basis, at the Points of Delivery identified under (i), (ii) and (iii) of Paragraph 3.a hereof, such quantity of natural gas for peaking purposes (“Safety-net Volume Gas”) as may be nominated by Buyer to Seller upon not less than four (4) hours prior notice, such nomination to be in increments of up to 20,000 MMBtu per day and shall remain in effect until Buyer changes such nominations on not less than four (4) hours notice; provided, however, that Seller shall not be obligated to sell and deliver hereunder to Buyer natural gas for peaking purposes at a rate of delivery in excess of 1,000 MMBtu of gas per hour.”</w:t>
      </w:r>
    </w:p>
    <w:p>
      <w:pPr>
        <w:pStyle w:val="Normal"/>
        <w:jc w:val="both"/>
        <w:rPr/>
      </w:pPr>
      <w:r>
        <w:rPr/>
      </w:r>
    </w:p>
    <w:p>
      <w:pPr>
        <w:pStyle w:val="Normal"/>
        <w:numPr>
          <w:ilvl w:val="0"/>
          <w:numId w:val="1"/>
        </w:numPr>
        <w:tabs>
          <w:tab w:val="clear" w:pos="720"/>
          <w:tab w:val="left" w:pos="0" w:leader="none"/>
          <w:tab w:val="left" w:pos="1080" w:leader="none"/>
        </w:tabs>
        <w:spacing w:lineRule="auto" w:line="480"/>
        <w:ind w:hanging="360" w:start="360" w:end="0"/>
        <w:jc w:val="both"/>
        <w:rPr/>
      </w:pPr>
      <w:r>
        <w:rPr/>
        <w:t xml:space="preserve">The first sentence of Paragraph 3.a of Section 3, </w:t>
      </w:r>
      <w:r>
        <w:rPr>
          <w:u w:val="single"/>
        </w:rPr>
        <w:t>Points of Delivery, Facilities and Ownership and Control</w:t>
      </w:r>
      <w:r>
        <w:rPr/>
        <w:t>, of the Contract is amended by deleting the same in its entirety and substituting therefore the following, to-wit:</w:t>
      </w:r>
    </w:p>
    <w:p>
      <w:pPr>
        <w:pStyle w:val="BlockText"/>
        <w:rPr/>
      </w:pPr>
      <w:r>
        <w:rPr/>
        <w:t>“</w:t>
      </w:r>
      <w:r>
        <w:rPr/>
        <w:t>The points of delivery (“Points of Delivery”) for all gas to be purchased hereunder shall be at the outlet of Seller’s or its designee’s existing metering facilities (i) (meter numbers 1308 and 1413) located at a mutually agreeable point on Buyer’s premises at Texas City in Galveston County, Texas, (ii) (meter number 1332) located at a mutually agreeable point on Buyer’s premises at Seadrift in Matagorda County, Texas, and (iii) (meter number 1442) located at a mutually agreeable point on Dow Chemical Company’s Freeport Plant premises in Brazoria County, Texas.”</w:t>
      </w:r>
    </w:p>
    <w:p>
      <w:pPr>
        <w:pStyle w:val="BlockText"/>
        <w:rPr/>
      </w:pPr>
      <w:r>
        <w:rPr/>
      </w:r>
    </w:p>
    <w:p>
      <w:pPr>
        <w:pStyle w:val="Normal"/>
        <w:spacing w:lineRule="auto" w:line="480"/>
        <w:ind w:firstLine="720" w:end="0"/>
        <w:jc w:val="both"/>
        <w:rPr/>
      </w:pPr>
      <w:r>
        <w:rPr/>
        <w:t>3.</w:t>
        <w:tab/>
        <w:t xml:space="preserve">Paragraphs 8.a and 8.b of Section 8, </w:t>
      </w:r>
      <w:r>
        <w:rPr>
          <w:u w:val="single"/>
        </w:rPr>
        <w:t>Price, Billing and Payment</w:t>
      </w:r>
      <w:r>
        <w:rPr/>
        <w:t>, of the Contract are amended by deleting the same in their entirety and substituting therefore the following, to-wit:</w:t>
      </w:r>
    </w:p>
    <w:p>
      <w:pPr>
        <w:pStyle w:val="BlockText"/>
        <w:rPr/>
      </w:pPr>
      <w:r>
        <w:rPr/>
        <w:t>“</w:t>
      </w:r>
      <w:r>
        <w:rPr/>
        <w:t>8.a</w:t>
        <w:tab/>
        <w:t>The price for each MMBtu of Base Volume Gas sold and delivered pursuant to Paragraph 2.a during any one billing month shall be the Inside FERC Delivered Spot-Gas Price per MMBtu for such month.</w:t>
      </w:r>
    </w:p>
    <w:p>
      <w:pPr>
        <w:pStyle w:val="BlockText"/>
        <w:rPr/>
      </w:pPr>
      <w:r>
        <w:rPr/>
      </w:r>
    </w:p>
    <w:p>
      <w:pPr>
        <w:pStyle w:val="BlockText"/>
        <w:tabs>
          <w:tab w:val="clear" w:pos="720"/>
          <w:tab w:val="left" w:pos="1440" w:leader="none"/>
        </w:tabs>
        <w:rPr/>
      </w:pPr>
      <w:r>
        <w:rPr/>
        <w:t>“</w:t>
      </w:r>
      <w:r>
        <w:rPr/>
        <w:t>8.b</w:t>
        <w:tab/>
        <w:t xml:space="preserve">The price for each MMBtu of Safety-net Volume Gas sold and delivered pursuant to Paragraph 2.b during any day shall be the higher of the “Spot Price (Midpoint)” set forth in </w:t>
      </w:r>
      <w:r>
        <w:rPr>
          <w:u w:val="single"/>
        </w:rPr>
        <w:t>Gas Daily</w:t>
      </w:r>
      <w:r>
        <w:rPr/>
        <w:t>® (Financial Times Energy) or successor publication, in the column “Daily Price Survey” under Houston Ship Channel reported for the day and for the day following the gas day on which Safety-net Volume Gas was sold and delivered to Buyer pursuant to Paragraph 2.b; provided, however, if there is no midpoint price published for such gas day(s), but there is a range of prices under the above column and listing, then the Spot Price (Midpoint) shall be deemed to be the midpoint price shown in the range, and provided further, if there is no price or range of prices for such gas day(s), then the Spot Price (Midpoint) shall be deemed to be the midpoint price for the next gas day for which a Spot Price (Midpoint) can be determined in accordance herewith.”</w:t>
      </w:r>
    </w:p>
    <w:p>
      <w:pPr>
        <w:pStyle w:val="Normal"/>
        <w:ind w:start="720" w:end="720"/>
        <w:jc w:val="both"/>
        <w:rPr/>
      </w:pPr>
      <w:r>
        <w:rPr/>
      </w:r>
    </w:p>
    <w:p>
      <w:pPr>
        <w:pStyle w:val="BlockText"/>
        <w:tabs>
          <w:tab w:val="clear" w:pos="720"/>
          <w:tab w:val="left" w:pos="1440" w:leader="none"/>
          <w:tab w:val="left" w:pos="9360" w:leader="none"/>
        </w:tabs>
        <w:spacing w:lineRule="auto" w:line="480"/>
        <w:ind w:firstLine="720" w:start="0" w:end="0"/>
        <w:rPr/>
      </w:pPr>
      <w:r>
        <w:rPr/>
        <w:t>4.</w:t>
        <w:tab/>
        <w:t xml:space="preserve">Paragraph 9.a of Section 9, </w:t>
      </w:r>
      <w:r>
        <w:rPr>
          <w:u w:val="single"/>
        </w:rPr>
        <w:t>Term</w:t>
      </w:r>
      <w:r>
        <w:rPr/>
        <w:t>, of the Contract is amended by deleting the same in its entirety and substituting therefore the following, to-wit:</w:t>
      </w:r>
    </w:p>
    <w:p>
      <w:pPr>
        <w:pStyle w:val="BlockText"/>
        <w:rPr/>
      </w:pPr>
      <w:r>
        <w:rPr/>
        <w:t>“</w:t>
      </w:r>
      <w:r>
        <w:rPr/>
        <w:t>9.a</w:t>
        <w:tab/>
        <w:t>This Contract shall be effective and operative from and after January 1, 1990 and shall continue in force and effect through December 31, 2003.”</w:t>
      </w:r>
    </w:p>
    <w:p>
      <w:pPr>
        <w:pStyle w:val="Normal"/>
        <w:jc w:val="both"/>
        <w:rPr/>
      </w:pPr>
      <w:r>
        <w:rPr/>
      </w:r>
    </w:p>
    <w:p>
      <w:pPr>
        <w:pStyle w:val="Normal"/>
        <w:spacing w:lineRule="auto" w:line="480"/>
        <w:jc w:val="both"/>
        <w:rPr/>
      </w:pPr>
      <w:r>
        <w:rPr/>
        <w:tab/>
        <w:t>Except as amended herein, the Contract shall be and remain in full force and effect.</w:t>
      </w:r>
    </w:p>
    <w:p>
      <w:pPr>
        <w:pStyle w:val="Normal"/>
        <w:spacing w:lineRule="auto" w:line="480"/>
        <w:jc w:val="both"/>
        <w:rPr/>
      </w:pPr>
      <w:r>
        <w:rPr/>
        <w:tab/>
        <w:t>IN WITNESS WHEREOF, the parties hereto have caused this instrument to be executed in multiple original as of the date first hereinabove written.</w:t>
      </w:r>
    </w:p>
    <w:p>
      <w:pPr>
        <w:pStyle w:val="Normal"/>
        <w:tabs>
          <w:tab w:val="clear" w:pos="720"/>
          <w:tab w:val="left" w:pos="4680" w:leader="none"/>
          <w:tab w:val="left" w:pos="9180" w:leader="none"/>
        </w:tabs>
        <w:jc w:val="both"/>
        <w:rPr/>
      </w:pPr>
      <w:r>
        <w:rPr/>
        <w:t>UNION CARBIDE CORPORATION</w:t>
        <w:tab/>
        <w:t>HOUSTON PIPE LINE COMPANY</w:t>
      </w:r>
    </w:p>
    <w:p>
      <w:pPr>
        <w:pStyle w:val="Normal"/>
        <w:tabs>
          <w:tab w:val="clear" w:pos="720"/>
          <w:tab w:val="left" w:pos="4680" w:leader="none"/>
          <w:tab w:val="left" w:pos="9180" w:leader="none"/>
        </w:tabs>
        <w:jc w:val="both"/>
        <w:rPr/>
      </w:pPr>
      <w:r>
        <w:rPr/>
      </w:r>
    </w:p>
    <w:p>
      <w:pPr>
        <w:pStyle w:val="Normal"/>
        <w:tabs>
          <w:tab w:val="clear" w:pos="720"/>
          <w:tab w:val="left" w:pos="4680" w:leader="none"/>
          <w:tab w:val="left" w:pos="9180" w:leader="none"/>
        </w:tabs>
        <w:jc w:val="both"/>
        <w:rPr/>
      </w:pPr>
      <w:r>
        <w:rPr/>
      </w:r>
    </w:p>
    <w:p>
      <w:pPr>
        <w:pStyle w:val="Normal"/>
        <w:tabs>
          <w:tab w:val="clear" w:pos="720"/>
          <w:tab w:val="left" w:pos="4680" w:leader="none"/>
          <w:tab w:val="left" w:pos="9180" w:leader="none"/>
        </w:tabs>
        <w:jc w:val="both"/>
        <w:rPr/>
      </w:pPr>
      <w:r>
        <w:rPr/>
        <w:t xml:space="preserve">By: </w:t>
      </w:r>
      <w:r>
        <w:rPr>
          <w:u w:val="single"/>
        </w:rPr>
        <w:t xml:space="preserve">__________________________ </w:t>
      </w:r>
      <w:r>
        <w:rPr/>
        <w:tab/>
        <w:t xml:space="preserve">By: </w:t>
      </w:r>
      <w:r>
        <w:rPr>
          <w:u w:val="single"/>
        </w:rPr>
        <w:tab/>
      </w:r>
    </w:p>
    <w:p>
      <w:pPr>
        <w:pStyle w:val="Normal"/>
        <w:tabs>
          <w:tab w:val="clear" w:pos="720"/>
          <w:tab w:val="left" w:pos="1440" w:leader="none"/>
          <w:tab w:val="left" w:pos="4680" w:leader="none"/>
          <w:tab w:val="left" w:pos="5040" w:leader="none"/>
          <w:tab w:val="left" w:pos="6480" w:leader="none"/>
          <w:tab w:val="left" w:pos="9180" w:leader="none"/>
        </w:tabs>
        <w:jc w:val="both"/>
        <w:rPr/>
      </w:pPr>
      <w:r>
        <w:rPr/>
        <w:t xml:space="preserve">      </w:t>
      </w:r>
      <w:r>
        <w:rPr/>
        <w:t>Title -</w:t>
        <w:tab/>
        <w:t xml:space="preserve">      </w:t>
        <w:tab/>
        <w:tab/>
        <w:t xml:space="preserve">Title - </w:t>
        <w:tab/>
        <w:t xml:space="preserve">   </w:t>
        <w:tab/>
        <w:tab/>
        <w:tab/>
        <w:t>“Buyer”</w:t>
        <w:tab/>
        <w:tab/>
        <w:tab/>
        <w:t>“Seller”</w:t>
      </w:r>
    </w:p>
    <w:p>
      <w:pPr>
        <w:pStyle w:val="Normal"/>
        <w:tabs>
          <w:tab w:val="clear" w:pos="720"/>
          <w:tab w:val="left" w:pos="9180" w:leader="none"/>
        </w:tabs>
        <w:ind w:start="4680" w:end="0"/>
        <w:jc w:val="both"/>
        <w:rPr/>
      </w:pPr>
      <w:r>
        <w:rPr/>
      </w:r>
    </w:p>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jc w:val="both"/>
      <w:rPr/>
    </w:pPr>
    <w:r>
      <w:rPr>
        <w:rStyle w:val="PageNumber"/>
        <w:sz w:val="12"/>
        <w:szCs w:val="12"/>
      </w:rPr>
      <w:fldChar w:fldCharType="begin"/>
    </w:r>
    <w:r>
      <w:rPr>
        <w:rStyle w:val="PageNumber"/>
        <w:sz w:val="12"/>
        <w:szCs w:val="12"/>
      </w:rPr>
      <w:instrText xml:space="preserve"> FILENAME \p </w:instrText>
    </w:r>
    <w:r>
      <w:rPr>
        <w:rStyle w:val="PageNumber"/>
        <w:sz w:val="12"/>
        <w:szCs w:val="12"/>
      </w:rPr>
      <w:fldChar w:fldCharType="separate"/>
    </w:r>
    <w:r>
      <w:rPr>
        <w:rStyle w:val="PageNumber"/>
        <w:sz w:val="12"/>
        <w:szCs w:val="12"/>
      </w:rPr>
      <w:t>/mnt/main-storage/datasets/enron-docs/doc/2000_15amd.doc</w:t>
    </w:r>
    <w:r>
      <w:rPr>
        <w:rStyle w:val="PageNumber"/>
        <w:sz w:val="12"/>
        <w:szCs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lockText">
    <w:name w:val="Block Text"/>
    <w:basedOn w:val="Normal"/>
    <w:qFormat/>
    <w:pPr>
      <w:ind w:hanging="0" w:start="720" w:end="72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2000-12-19T21:01:00Z</dcterms:created>
  <dc:creator>ECT</dc:creator>
  <dc:description/>
  <dc:language>en-CA</dc:language>
  <cp:lastModifiedBy>dhyvl</cp:lastModifiedBy>
  <cp:lastPrinted>2000-12-20T08:22:00Z</cp:lastPrinted>
  <dcterms:modified xsi:type="dcterms:W3CDTF">2000-12-20T11:52:00Z</dcterms:modified>
  <cp:revision>8</cp:revision>
  <dc:subject/>
  <dc:title>Contract No</dc:title>
</cp:coreProperties>
</file>