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t>AMENDMENT TO GAS SALES AGREEMENT</w:t>
      </w:r>
    </w:p>
    <w:p>
      <w:pPr>
        <w:pStyle w:val="Normal"/>
        <w:jc w:val="center"/>
        <w:rPr/>
      </w:pPr>
      <w:r>
        <w:rPr/>
      </w:r>
    </w:p>
    <w:p>
      <w:pPr>
        <w:pStyle w:val="Normal"/>
        <w:jc w:val="both"/>
        <w:rPr/>
      </w:pPr>
      <w:r>
        <w:rPr/>
        <w:tab/>
        <w:t>This Amendment to Gas Sales Agreement is dated effective as of August 1, 2000 (this “</w:t>
      </w:r>
      <w:r>
        <w:rPr>
          <w:u w:val="single"/>
        </w:rPr>
        <w:t>Amendment</w:t>
      </w:r>
      <w:r>
        <w:rPr/>
        <w:t>”) and is between Diamond Shamrock Refining and Marketing Company (“</w:t>
      </w:r>
      <w:r>
        <w:rPr>
          <w:u w:val="single"/>
        </w:rPr>
        <w:t>Buyer</w:t>
      </w:r>
      <w:r>
        <w:rPr/>
        <w:t>”) and Houston Pipe Line Company, successor in interest to HPL Resources Company formerly known as Natural Gas Marketing &amp; Storage Company (“</w:t>
      </w:r>
      <w:r>
        <w:rPr>
          <w:u w:val="single"/>
        </w:rPr>
        <w:t>Seller</w:t>
      </w:r>
      <w:r>
        <w:rPr/>
        <w:t>”), each hereinafter referred to from time-to-time as “</w:t>
      </w:r>
      <w:r>
        <w:rPr>
          <w:u w:val="single"/>
        </w:rPr>
        <w:t>Party</w:t>
      </w:r>
      <w:r>
        <w:rPr/>
        <w:t>” or collectively as “</w:t>
      </w:r>
      <w:r>
        <w:rPr>
          <w:u w:val="single"/>
        </w:rPr>
        <w:t>Parties</w:t>
      </w:r>
      <w:r>
        <w:rPr/>
        <w:t>”.</w:t>
      </w:r>
    </w:p>
    <w:p>
      <w:pPr>
        <w:pStyle w:val="Normal"/>
        <w:jc w:val="both"/>
        <w:rPr/>
      </w:pPr>
      <w:r>
        <w:rPr/>
      </w:r>
    </w:p>
    <w:p>
      <w:pPr>
        <w:pStyle w:val="Normal"/>
        <w:jc w:val="center"/>
        <w:rPr/>
      </w:pPr>
      <w:r>
        <w:rPr/>
        <w:t>WITNESSETH:</w:t>
      </w:r>
    </w:p>
    <w:p>
      <w:pPr>
        <w:pStyle w:val="Normal"/>
        <w:jc w:val="both"/>
        <w:rPr/>
      </w:pPr>
      <w:r>
        <w:rPr/>
      </w:r>
    </w:p>
    <w:p>
      <w:pPr>
        <w:pStyle w:val="Normal"/>
        <w:jc w:val="both"/>
        <w:rPr/>
      </w:pPr>
      <w:r>
        <w:rPr/>
        <w:tab/>
        <w:t>WHEREAS, Seller and Buyer are Parties to that certain Gas Sales Agreement dated effective as of June 1, 1993, as amended, (the “</w:t>
      </w:r>
      <w:r>
        <w:rPr>
          <w:u w:val="single"/>
        </w:rPr>
        <w:t>Contract</w:t>
      </w:r>
      <w:r>
        <w:rPr/>
        <w:t>”); and</w:t>
      </w:r>
    </w:p>
    <w:p>
      <w:pPr>
        <w:pStyle w:val="Normal"/>
        <w:jc w:val="both"/>
        <w:rPr/>
      </w:pPr>
      <w:r>
        <w:rPr/>
      </w:r>
    </w:p>
    <w:p>
      <w:pPr>
        <w:pStyle w:val="Normal"/>
        <w:jc w:val="both"/>
        <w:rPr/>
      </w:pPr>
      <w:r>
        <w:rPr/>
        <w:tab/>
        <w:t>WHEREAS, Seller and Buyer desire to amend the Contract as hereinafter provided.</w:t>
      </w:r>
    </w:p>
    <w:p>
      <w:pPr>
        <w:pStyle w:val="Normal"/>
        <w:jc w:val="both"/>
        <w:rPr/>
      </w:pPr>
      <w:r>
        <w:rPr/>
      </w:r>
    </w:p>
    <w:p>
      <w:pPr>
        <w:pStyle w:val="BodyText2"/>
        <w:rPr/>
      </w:pPr>
      <w:r>
        <w:rPr/>
        <w:tab/>
        <w:t>NOW, THEREFORE, in consideration of the premises and mutual covenants herein contained, and other good and valuable consideration, the receipt and sufficiency of which are hereby acknowledged, the Parties mutually agree as follows:</w:t>
      </w:r>
    </w:p>
    <w:p>
      <w:pPr>
        <w:pStyle w:val="Normal"/>
        <w:rPr/>
      </w:pPr>
      <w:r>
        <w:rPr/>
      </w:r>
    </w:p>
    <w:p>
      <w:pPr>
        <w:pStyle w:val="Normal"/>
        <w:tabs>
          <w:tab w:val="left" w:pos="720" w:leader="none"/>
          <w:tab w:val="left" w:pos="1440" w:leader="none"/>
        </w:tabs>
        <w:jc w:val="both"/>
        <w:rPr/>
      </w:pPr>
      <w:r>
        <w:rPr/>
        <w:tab/>
        <w:t>1.</w:t>
        <w:tab/>
        <w:t xml:space="preserve">Section 1.1, </w:t>
      </w:r>
      <w:r>
        <w:rPr>
          <w:u w:val="single"/>
        </w:rPr>
        <w:t>Definitions</w:t>
      </w:r>
      <w:r>
        <w:rPr/>
        <w:t>, of the Contract is amended by adding thereto the following new definitions, to-wit:</w:t>
      </w:r>
    </w:p>
    <w:p>
      <w:pPr>
        <w:pStyle w:val="Normal"/>
        <w:tabs>
          <w:tab w:val="left" w:pos="720" w:leader="none"/>
          <w:tab w:val="left" w:pos="1440" w:leader="none"/>
        </w:tabs>
        <w:jc w:val="both"/>
        <w:rPr/>
      </w:pPr>
      <w:r>
        <w:rPr/>
      </w:r>
    </w:p>
    <w:p>
      <w:pPr>
        <w:pStyle w:val="Normal"/>
        <w:tabs>
          <w:tab w:val="left" w:pos="720" w:leader="none"/>
          <w:tab w:val="left" w:pos="1440" w:leader="none"/>
        </w:tabs>
        <w:ind w:start="720" w:end="720"/>
        <w:jc w:val="both"/>
        <w:rPr/>
      </w:pPr>
      <w:r>
        <w:rPr/>
        <w:t>“’</w:t>
      </w:r>
      <w:r>
        <w:rPr>
          <w:i/>
          <w:iCs/>
          <w:u w:val="single"/>
        </w:rPr>
        <w:t>HSC Spot Price (Midpoint)</w:t>
      </w:r>
      <w:r>
        <w:rPr/>
        <w:t xml:space="preserve">’ shall mean the Spot Price (Midpoint) set forth in </w:t>
      </w:r>
      <w:r>
        <w:rPr>
          <w:u w:val="single"/>
        </w:rPr>
        <w:t>Gas Daily</w:t>
      </w:r>
      <w:r>
        <w:rPr/>
        <w:t>® (Financial Times Energy), or successor publication, in the column ‘Daily Price Survey’ under East-Houston-Katy - Houston Ship Channel as reported two days after the day for which a price is being determined; provided, however, if there is no midpoint price published on such day, then the Spot Price (Midpoint) shall be deemed the midpoint price for the next day for which a Spot Price (Midpoint) can be determined in accordance herewith.</w:t>
      </w:r>
    </w:p>
    <w:p>
      <w:pPr>
        <w:pStyle w:val="Normal"/>
        <w:tabs>
          <w:tab w:val="left" w:pos="720" w:leader="none"/>
          <w:tab w:val="left" w:pos="1440" w:leader="none"/>
        </w:tabs>
        <w:ind w:start="720" w:end="720"/>
        <w:jc w:val="both"/>
        <w:rPr/>
      </w:pPr>
      <w:r>
        <w:rPr/>
      </w:r>
    </w:p>
    <w:p>
      <w:pPr>
        <w:pStyle w:val="Normal"/>
        <w:tabs>
          <w:tab w:val="left" w:pos="720" w:leader="none"/>
          <w:tab w:val="left" w:pos="1440" w:leader="none"/>
        </w:tabs>
        <w:ind w:start="720" w:end="720"/>
        <w:jc w:val="both"/>
        <w:rPr/>
      </w:pPr>
      <w:r>
        <w:rPr/>
        <w:t>“’</w:t>
      </w:r>
      <w:r>
        <w:rPr>
          <w:i/>
          <w:iCs/>
          <w:u w:val="single"/>
        </w:rPr>
        <w:t>Katy Spot Price (Common Low)</w:t>
      </w:r>
      <w:r>
        <w:rPr/>
        <w:t xml:space="preserve">’ shall mean the Spot Price (Common Low) set forth in </w:t>
      </w:r>
      <w:r>
        <w:rPr>
          <w:u w:val="single"/>
        </w:rPr>
        <w:t>Gas Daily</w:t>
      </w:r>
      <w:r>
        <w:rPr/>
        <w:t>® (Financial Times Energy), or successor publication, in the column ‘Daily Price Survey’ under East-Houston-Katy – Katy Hub tailgate as reported two days after the day for which a price is being determined; provided, however, if there is no common low price published on such day, then the Spot Price (Common Low) shall be deemed the common low price for the next day for which a Spot Price (Common Low) can be determined in accordance herewith.”</w:t>
      </w:r>
    </w:p>
    <w:p>
      <w:pPr>
        <w:pStyle w:val="Normal"/>
        <w:tabs>
          <w:tab w:val="left" w:pos="720" w:leader="none"/>
          <w:tab w:val="left" w:pos="1440" w:leader="none"/>
        </w:tabs>
        <w:jc w:val="both"/>
        <w:rPr/>
      </w:pPr>
      <w:r>
        <w:rPr/>
      </w:r>
    </w:p>
    <w:p>
      <w:pPr>
        <w:pStyle w:val="Normal"/>
        <w:tabs>
          <w:tab w:val="left" w:pos="720" w:leader="none"/>
          <w:tab w:val="left" w:pos="1440" w:leader="none"/>
        </w:tabs>
        <w:jc w:val="both"/>
        <w:rPr/>
      </w:pPr>
      <w:r>
        <w:rPr/>
        <w:tab/>
        <w:t>2.</w:t>
        <w:tab/>
        <w:t>Section 5.1 of Article 5, Contract Price, of the Contract is amended by deleting the same in its entirety and substituting therefore the following, to-wit:</w:t>
      </w:r>
    </w:p>
    <w:p>
      <w:pPr>
        <w:pStyle w:val="Normal"/>
        <w:jc w:val="both"/>
        <w:rPr/>
      </w:pPr>
      <w:r>
        <w:rPr/>
      </w:r>
    </w:p>
    <w:p>
      <w:pPr>
        <w:pStyle w:val="Normal"/>
        <w:ind w:firstLine="720" w:start="720" w:end="720"/>
        <w:jc w:val="both"/>
        <w:rPr/>
      </w:pPr>
      <w:r>
        <w:rPr/>
        <w:t>"5.1.</w:t>
        <w:tab/>
      </w:r>
      <w:r>
        <w:rPr>
          <w:u w:val="single"/>
        </w:rPr>
        <w:t>Contract Price</w:t>
      </w:r>
      <w:r>
        <w:rPr/>
        <w:t>.</w:t>
        <w:tab/>
        <w:tab/>
        <w:t>Subject to the other provisions hereof, the price for the DCQ shall equal the sum of Reference Price per MMBtu less $0.01 per MMBtu.  The price per MMBtu for any volumes in excess of the DCQ up to the MaxDQ shall be equal to the sum of the HSC Spot Price (Midpoint) less $0.01 per MMBtu.  In the event Buyer purchases less than the DCQ or the MinDQ, whichever volume is greater, during any day, Seller shall purchase such shortfall between the volume the Buyer purchased and received for such day and the greater of the DCQ or the MinDQ applicable for such Day from Buyer at a price per MMBtu equal to the Katy Spot Price (Common Low).”</w:t>
      </w:r>
    </w:p>
    <w:p>
      <w:pPr>
        <w:pStyle w:val="Normal"/>
        <w:ind w:start="2160" w:end="1440"/>
        <w:rPr/>
      </w:pPr>
      <w:r>
        <w:rPr/>
      </w:r>
    </w:p>
    <w:p>
      <w:pPr>
        <w:pStyle w:val="Normal"/>
        <w:tabs>
          <w:tab w:val="left" w:pos="720" w:leader="none"/>
          <w:tab w:val="left" w:pos="1440" w:leader="none"/>
        </w:tabs>
        <w:jc w:val="both"/>
        <w:rPr/>
      </w:pPr>
      <w:r>
        <w:rPr/>
        <w:tab/>
        <w:t>3.</w:t>
        <w:tab/>
        <w:t>Section 6.6 of Article 6, Quantity Obligations, of the Contract is amended by deleting the same in its entirety and substituting therefore the following, to-wit:</w:t>
      </w:r>
    </w:p>
    <w:p>
      <w:pPr>
        <w:pStyle w:val="Normal"/>
        <w:jc w:val="both"/>
        <w:rPr/>
      </w:pPr>
      <w:r>
        <w:rPr/>
      </w:r>
    </w:p>
    <w:p>
      <w:pPr>
        <w:pStyle w:val="BlockText"/>
        <w:ind w:firstLine="720" w:end="720"/>
        <w:rPr/>
      </w:pPr>
      <w:r>
        <w:rPr/>
        <w:t>"6.6.</w:t>
        <w:tab/>
      </w:r>
      <w:r>
        <w:rPr>
          <w:u w:val="single"/>
        </w:rPr>
        <w:t>Buyer’s Purchase Obligation</w:t>
      </w:r>
      <w:r>
        <w:rPr/>
        <w:t>.</w:t>
        <w:tab/>
        <w:t xml:space="preserve">  Subject only to the terms and conditions of this Agreement, Buyer shall Schedule at the Delivery Point(s), on a firm basis each Day during the term of this Agreement, a quantity of Gas equal to the DCQ, being the greater of the MinDQ or the volume nominated by Buyer to Seller not later than five (5) Days prior to the beginning of the Month.  The MinDQ shall be equal to 9,000 MMBtu each Day during the term of this Agreement.  The MaxDQ shall be equal to 20,000 MMBtu per day for the term of this Agreement and neither Buyer nor Seller shall be obligated to nominate or Schedule any volumes in excess of the MaxDQ.”</w:t>
      </w:r>
    </w:p>
    <w:p>
      <w:pPr>
        <w:pStyle w:val="Normal"/>
        <w:ind w:firstLine="720" w:end="0"/>
        <w:jc w:val="both"/>
        <w:rPr/>
      </w:pPr>
      <w:r>
        <w:rPr/>
      </w:r>
    </w:p>
    <w:p>
      <w:pPr>
        <w:pStyle w:val="Normal"/>
        <w:ind w:firstLine="720" w:end="0"/>
        <w:jc w:val="both"/>
        <w:rPr/>
      </w:pPr>
      <w:r>
        <w:rPr/>
        <w:t>5.</w:t>
        <w:tab/>
        <w:t xml:space="preserve">Paragraphs 9.a and 9.b of Section 9, </w:t>
      </w:r>
      <w:r>
        <w:rPr>
          <w:u w:val="single"/>
        </w:rPr>
        <w:t>Term</w:t>
      </w:r>
      <w:r>
        <w:rPr/>
        <w:t>; of the Contract are deleted in their entirety and replaced with the following:</w:t>
      </w:r>
    </w:p>
    <w:p>
      <w:pPr>
        <w:pStyle w:val="Normal"/>
        <w:jc w:val="both"/>
        <w:rPr/>
      </w:pPr>
      <w:r>
        <w:rPr/>
      </w:r>
    </w:p>
    <w:p>
      <w:pPr>
        <w:pStyle w:val="BlockText"/>
        <w:rPr/>
      </w:pPr>
      <w:r>
        <w:rPr/>
        <w:t>"9.a.  This Contract shall be effective and operative as of August 1, 2000 and shall continue in force and effect through July 31, 2001, and thereafter from Month to Month until cancelled by either Party upon not less than thirty (30) Days prior written notice to the other Party."</w:t>
      </w:r>
    </w:p>
    <w:p>
      <w:pPr>
        <w:pStyle w:val="BlockText"/>
        <w:rPr/>
      </w:pPr>
      <w:r>
        <w:rPr/>
      </w:r>
    </w:p>
    <w:p>
      <w:pPr>
        <w:pStyle w:val="Normal"/>
        <w:rPr/>
      </w:pPr>
      <w:r>
        <w:rPr/>
        <w:tab/>
        <w:t>The Contract as hereby amended shall in all other respects remain in full force and effect.</w:t>
      </w:r>
    </w:p>
    <w:p>
      <w:pPr>
        <w:pStyle w:val="Normal"/>
        <w:tabs>
          <w:tab w:val="clear" w:pos="720"/>
          <w:tab w:val="left" w:pos="3960" w:leader="none"/>
          <w:tab w:val="left" w:pos="5280" w:leader="none"/>
          <w:tab w:val="left" w:pos="9180" w:leader="none"/>
        </w:tabs>
        <w:spacing w:lineRule="atLeast" w:line="240"/>
        <w:ind w:end="360"/>
        <w:jc w:val="both"/>
        <w:rPr>
          <w:rFonts w:ascii="Tms Rmn;Times New Roman" w:hAnsi="Tms Rmn;Times New Roman" w:cs="Tms Rmn;Times New Roman"/>
        </w:rPr>
      </w:pPr>
      <w:r>
        <w:rPr>
          <w:rFonts w:cs="Tms Rmn;Times New Roman" w:ascii="Tms Rmn;Times New Roman" w:hAnsi="Tms Rmn;Times New Roman"/>
        </w:rPr>
      </w:r>
    </w:p>
    <w:p>
      <w:pPr>
        <w:pStyle w:val="BodyText"/>
        <w:tabs>
          <w:tab w:val="clear" w:pos="9180"/>
          <w:tab w:val="left" w:pos="720" w:leader="none"/>
          <w:tab w:val="left" w:pos="3960" w:leader="none"/>
          <w:tab w:val="left" w:pos="5280" w:leader="none"/>
          <w:tab w:val="left" w:pos="9360" w:leader="none"/>
        </w:tabs>
        <w:ind w:end="0"/>
        <w:rPr/>
      </w:pPr>
      <w:r>
        <w:rPr/>
        <w:tab/>
        <w:t>In Witness Whereof, the Parties have executed this Amendment effective as of the date first hereinabove provided.</w:t>
      </w:r>
    </w:p>
    <w:p>
      <w:pPr>
        <w:pStyle w:val="Normal"/>
        <w:tabs>
          <w:tab w:val="clear" w:pos="720"/>
          <w:tab w:val="left" w:pos="3960" w:leader="none"/>
          <w:tab w:val="left" w:pos="5280" w:leader="none"/>
          <w:tab w:val="left" w:pos="9180" w:leader="none"/>
        </w:tabs>
        <w:spacing w:lineRule="atLeast" w:line="240"/>
        <w:ind w:end="360"/>
        <w:jc w:val="both"/>
        <w:rPr>
          <w:rFonts w:ascii="Tms Rmn;Times New Roman" w:hAnsi="Tms Rmn;Times New Roman" w:cs="Tms Rmn;Times New Roman"/>
        </w:rPr>
      </w:pPr>
      <w:r>
        <w:rPr>
          <w:rFonts w:cs="Tms Rmn;Times New Roman" w:ascii="Tms Rmn;Times New Roman" w:hAnsi="Tms Rmn;Times New Roman"/>
        </w:rPr>
      </w:r>
    </w:p>
    <w:tbl>
      <w:tblPr>
        <w:tblW w:w="10458" w:type="dxa"/>
        <w:jc w:val="start"/>
        <w:tblInd w:w="0" w:type="dxa"/>
        <w:tblLayout w:type="fixed"/>
        <w:tblCellMar>
          <w:top w:w="0" w:type="dxa"/>
          <w:start w:w="108" w:type="dxa"/>
          <w:bottom w:w="0" w:type="dxa"/>
          <w:end w:w="108" w:type="dxa"/>
        </w:tblCellMar>
      </w:tblPr>
      <w:tblGrid>
        <w:gridCol w:w="4518"/>
        <w:gridCol w:w="5130"/>
        <w:gridCol w:w="810"/>
      </w:tblGrid>
      <w:tr>
        <w:trPr/>
        <w:tc>
          <w:tcPr>
            <w:tcW w:w="4518" w:type="dxa"/>
            <w:tcBorders/>
          </w:tcPr>
          <w:p>
            <w:pPr>
              <w:pStyle w:val="Normal"/>
              <w:tabs>
                <w:tab w:val="clear" w:pos="720"/>
                <w:tab w:val="left" w:pos="3510" w:leader="none"/>
                <w:tab w:val="left" w:pos="9000" w:leader="none"/>
              </w:tabs>
              <w:spacing w:lineRule="atLeast" w:line="240"/>
              <w:rPr>
                <w:rFonts w:ascii="Tms Rmn;Times New Roman" w:hAnsi="Tms Rmn;Times New Roman" w:cs="Tms Rmn;Times New Roman"/>
              </w:rPr>
            </w:pPr>
            <w:r>
              <w:rPr>
                <w:rFonts w:cs="Tms Rmn;Times New Roman" w:ascii="Tms Rmn;Times New Roman" w:hAnsi="Tms Rmn;Times New Roman"/>
              </w:rPr>
              <w:t xml:space="preserve">DIAMOND SHAMROCK REFINING &amp; </w:t>
            </w:r>
          </w:p>
          <w:p>
            <w:pPr>
              <w:pStyle w:val="Normal"/>
              <w:tabs>
                <w:tab w:val="clear" w:pos="720"/>
                <w:tab w:val="left" w:pos="3510" w:leader="none"/>
                <w:tab w:val="left" w:pos="9000" w:leader="none"/>
              </w:tabs>
              <w:spacing w:lineRule="atLeast" w:line="240"/>
              <w:rPr>
                <w:rFonts w:ascii="Tms Rmn;Times New Roman" w:hAnsi="Tms Rmn;Times New Roman" w:cs="Tms Rmn;Times New Roman"/>
              </w:rPr>
            </w:pPr>
            <w:r>
              <w:rPr>
                <w:rFonts w:cs="Tms Rmn;Times New Roman" w:ascii="Tms Rmn;Times New Roman" w:hAnsi="Tms Rmn;Times New Roman"/>
              </w:rPr>
              <w:t>REFINING COMPANY</w:t>
            </w:r>
          </w:p>
          <w:p>
            <w:pPr>
              <w:pStyle w:val="Normal"/>
              <w:tabs>
                <w:tab w:val="clear" w:pos="720"/>
                <w:tab w:val="left" w:pos="3510" w:leader="none"/>
                <w:tab w:val="left" w:pos="9000" w:leader="none"/>
              </w:tabs>
              <w:spacing w:lineRule="atLeast" w:line="240"/>
              <w:rPr>
                <w:rFonts w:ascii="Tms Rmn;Times New Roman" w:hAnsi="Tms Rmn;Times New Roman" w:cs="Tms Rmn;Times New Roman"/>
              </w:rPr>
            </w:pPr>
            <w:r>
              <w:rPr>
                <w:rFonts w:cs="Tms Rmn;Times New Roman" w:ascii="Tms Rmn;Times New Roman" w:hAnsi="Tms Rmn;Times New Roman"/>
              </w:rPr>
            </w:r>
          </w:p>
        </w:tc>
        <w:tc>
          <w:tcPr>
            <w:tcW w:w="5940" w:type="dxa"/>
            <w:gridSpan w:val="2"/>
            <w:tcBorders/>
          </w:tcPr>
          <w:p>
            <w:pPr>
              <w:pStyle w:val="Normal"/>
              <w:tabs>
                <w:tab w:val="clear" w:pos="720"/>
                <w:tab w:val="left" w:pos="3510" w:leader="none"/>
                <w:tab w:val="left" w:pos="9000" w:leader="none"/>
              </w:tabs>
              <w:spacing w:lineRule="atLeast" w:line="240"/>
              <w:jc w:val="both"/>
              <w:rPr>
                <w:rFonts w:ascii="Tms Rmn;Times New Roman" w:hAnsi="Tms Rmn;Times New Roman" w:cs="Tms Rmn;Times New Roman"/>
              </w:rPr>
            </w:pPr>
            <w:r>
              <w:rPr>
                <w:rFonts w:cs="Tms Rmn;Times New Roman" w:ascii="Tms Rmn;Times New Roman" w:hAnsi="Tms Rmn;Times New Roman"/>
              </w:rPr>
              <w:t>HOUSTON PIPE LINE COMPANY</w:t>
            </w:r>
          </w:p>
          <w:p>
            <w:pPr>
              <w:pStyle w:val="Normal"/>
              <w:tabs>
                <w:tab w:val="clear" w:pos="720"/>
                <w:tab w:val="left" w:pos="3510" w:leader="none"/>
                <w:tab w:val="left" w:pos="9000" w:leader="none"/>
              </w:tabs>
              <w:spacing w:lineRule="atLeast" w:line="240"/>
              <w:jc w:val="both"/>
              <w:rPr>
                <w:rFonts w:ascii="Tms Rmn;Times New Roman" w:hAnsi="Tms Rmn;Times New Roman" w:cs="Tms Rmn;Times New Roman"/>
              </w:rPr>
            </w:pPr>
            <w:r>
              <w:rPr>
                <w:rFonts w:cs="Tms Rmn;Times New Roman" w:ascii="Tms Rmn;Times New Roman" w:hAnsi="Tms Rmn;Times New Roman"/>
              </w:rPr>
            </w:r>
          </w:p>
        </w:tc>
      </w:tr>
      <w:tr>
        <w:trPr/>
        <w:tc>
          <w:tcPr>
            <w:tcW w:w="4518" w:type="dxa"/>
            <w:tcBorders/>
          </w:tcPr>
          <w:p>
            <w:pPr>
              <w:pStyle w:val="Normal"/>
              <w:tabs>
                <w:tab w:val="clear" w:pos="720"/>
                <w:tab w:val="left" w:pos="3510" w:leader="none"/>
                <w:tab w:val="left" w:pos="3960" w:leader="none"/>
                <w:tab w:val="left" w:pos="5130" w:leader="none"/>
                <w:tab w:val="left" w:pos="9180" w:leader="none"/>
              </w:tabs>
              <w:snapToGrid w:val="false"/>
              <w:spacing w:lineRule="atLeast" w:line="240"/>
              <w:ind w:end="-288"/>
              <w:jc w:val="both"/>
              <w:rPr>
                <w:rFonts w:ascii="Tms Rmn;Times New Roman" w:hAnsi="Tms Rmn;Times New Roman" w:cs="Tms Rmn;Times New Roman"/>
              </w:rPr>
            </w:pPr>
            <w:r>
              <w:rPr>
                <w:rFonts w:cs="Tms Rmn;Times New Roman" w:ascii="Tms Rmn;Times New Roman" w:hAnsi="Tms Rmn;Times New Roman"/>
              </w:rPr>
            </w:r>
          </w:p>
        </w:tc>
        <w:tc>
          <w:tcPr>
            <w:tcW w:w="5130" w:type="dxa"/>
            <w:tcBorders/>
          </w:tcPr>
          <w:p>
            <w:pPr>
              <w:pStyle w:val="Normal"/>
              <w:tabs>
                <w:tab w:val="clear" w:pos="720"/>
                <w:tab w:val="left" w:pos="3510" w:leader="none"/>
                <w:tab w:val="left" w:pos="3960" w:leader="none"/>
                <w:tab w:val="left" w:pos="5130" w:leader="none"/>
                <w:tab w:val="left" w:pos="9180" w:leader="none"/>
              </w:tabs>
              <w:spacing w:lineRule="atLeast" w:line="240"/>
              <w:jc w:val="both"/>
              <w:rPr>
                <w:rFonts w:ascii="Tms Rmn;Times New Roman" w:hAnsi="Tms Rmn;Times New Roman" w:cs="Tms Rmn;Times New Roman"/>
              </w:rPr>
            </w:pPr>
            <w:r>
              <w:rPr>
                <w:rFonts w:cs="Tms Rmn;Times New Roman" w:ascii="Tms Rmn;Times New Roman" w:hAnsi="Tms Rmn;Times New Roman"/>
              </w:rPr>
              <w:t>By: _____________________________________</w:t>
            </w:r>
          </w:p>
        </w:tc>
        <w:tc>
          <w:tcPr>
            <w:tcW w:w="810" w:type="dxa"/>
            <w:tcBorders/>
            <w:tcMar>
              <w:start w:w="0" w:type="dxa"/>
              <w:end w:w="0" w:type="dxa"/>
            </w:tcMar>
          </w:tcPr>
          <w:p>
            <w:pPr>
              <w:pStyle w:val="Normal"/>
              <w:snapToGrid w:val="false"/>
              <w:rPr>
                <w:rFonts w:ascii="Tms Rmn;Times New Roman" w:hAnsi="Tms Rmn;Times New Roman" w:cs="Tms Rmn;Times New Roman"/>
                <w:u w:val="single"/>
              </w:rPr>
            </w:pPr>
            <w:r>
              <w:rPr>
                <w:rFonts w:cs="Tms Rmn;Times New Roman" w:ascii="Tms Rmn;Times New Roman" w:hAnsi="Tms Rmn;Times New Roman"/>
                <w:u w:val="single"/>
              </w:rPr>
            </w:r>
          </w:p>
        </w:tc>
      </w:tr>
      <w:tr>
        <w:trPr/>
        <w:tc>
          <w:tcPr>
            <w:tcW w:w="4518" w:type="dxa"/>
            <w:tcBorders/>
          </w:tcPr>
          <w:p>
            <w:pPr>
              <w:pStyle w:val="Normal"/>
              <w:tabs>
                <w:tab w:val="clear" w:pos="720"/>
                <w:tab w:val="left" w:pos="450" w:leader="none"/>
                <w:tab w:val="left" w:pos="3960" w:leader="none"/>
                <w:tab w:val="left" w:pos="4320" w:leader="none"/>
                <w:tab w:val="left" w:pos="9180" w:leader="none"/>
              </w:tabs>
              <w:spacing w:lineRule="atLeast" w:line="240"/>
              <w:jc w:val="both"/>
              <w:rPr/>
            </w:pPr>
            <w:r>
              <w:rPr>
                <w:rFonts w:cs="Tms Rmn;Times New Roman" w:ascii="Tms Rmn;Times New Roman" w:hAnsi="Tms Rmn;Times New Roman"/>
              </w:rPr>
              <w:t>By: _</w:t>
            </w:r>
            <w:r>
              <w:rPr>
                <w:rFonts w:cs="Tms Rmn;Times New Roman" w:ascii="Tms Rmn;Times New Roman" w:hAnsi="Tms Rmn;Times New Roman"/>
                <w:u w:val="single"/>
              </w:rPr>
              <w:tab/>
            </w:r>
          </w:p>
          <w:p>
            <w:pPr>
              <w:pStyle w:val="Normal"/>
              <w:tabs>
                <w:tab w:val="clear" w:pos="720"/>
                <w:tab w:val="left" w:pos="450" w:leader="none"/>
                <w:tab w:val="left" w:pos="3960" w:leader="none"/>
                <w:tab w:val="left" w:pos="4320" w:leader="none"/>
                <w:tab w:val="left" w:pos="9180" w:leader="none"/>
              </w:tabs>
              <w:spacing w:lineRule="atLeast" w:line="240"/>
              <w:jc w:val="both"/>
              <w:rPr>
                <w:rFonts w:ascii="Tms Rmn;Times New Roman" w:hAnsi="Tms Rmn;Times New Roman" w:cs="Tms Rmn;Times New Roman"/>
              </w:rPr>
            </w:pPr>
            <w:r>
              <w:rPr>
                <w:rFonts w:cs="Tms Rmn;Times New Roman" w:ascii="Tms Rmn;Times New Roman" w:hAnsi="Tms Rmn;Times New Roman"/>
              </w:rPr>
              <w:t xml:space="preserve">(Title) </w:t>
            </w:r>
            <w:r>
              <w:rPr>
                <w:rFonts w:cs="Tms Rmn;Times New Roman" w:ascii="Tms Rmn;Times New Roman" w:hAnsi="Tms Rmn;Times New Roman"/>
                <w:u w:val="single"/>
              </w:rPr>
              <w:tab/>
            </w:r>
          </w:p>
        </w:tc>
        <w:tc>
          <w:tcPr>
            <w:tcW w:w="5130" w:type="dxa"/>
            <w:tcBorders/>
          </w:tcPr>
          <w:p>
            <w:pPr>
              <w:pStyle w:val="Heading1"/>
              <w:tabs>
                <w:tab w:val="clear" w:pos="3510"/>
                <w:tab w:val="clear" w:pos="3960"/>
                <w:tab w:val="clear" w:pos="4320"/>
                <w:tab w:val="left" w:pos="4752" w:leader="none"/>
                <w:tab w:val="left" w:pos="4842" w:leader="none"/>
                <w:tab w:val="left" w:pos="9180" w:leader="none"/>
              </w:tabs>
              <w:ind w:hanging="0" w:start="0" w:end="-738"/>
              <w:rPr/>
            </w:pPr>
            <w:r>
              <w:rPr/>
              <w:t>(Title) ___________________________________</w:t>
            </w:r>
          </w:p>
          <w:p>
            <w:pPr>
              <w:pStyle w:val="Heading1"/>
              <w:tabs>
                <w:tab w:val="clear" w:pos="3510"/>
                <w:tab w:val="clear" w:pos="3960"/>
                <w:tab w:val="clear" w:pos="4320"/>
                <w:tab w:val="left" w:pos="4752" w:leader="none"/>
                <w:tab w:val="left" w:pos="4842" w:leader="none"/>
                <w:tab w:val="left" w:pos="9180" w:leader="none"/>
              </w:tabs>
              <w:ind w:hanging="0" w:start="0" w:end="-738"/>
              <w:rPr/>
            </w:pPr>
            <w:r>
              <w:rPr/>
              <w:t>(Date) ___________________________________</w:t>
              <w:tab/>
            </w:r>
          </w:p>
        </w:tc>
        <w:tc>
          <w:tcPr>
            <w:tcW w:w="810" w:type="dxa"/>
            <w:tcBorders/>
            <w:tcMar>
              <w:start w:w="0" w:type="dxa"/>
              <w:end w:w="0" w:type="dxa"/>
            </w:tcMar>
          </w:tcPr>
          <w:p>
            <w:pPr>
              <w:pStyle w:val="Normal"/>
              <w:snapToGrid w:val="false"/>
              <w:rPr>
                <w:rFonts w:ascii="Tms Rmn;Times New Roman" w:hAnsi="Tms Rmn;Times New Roman" w:cs="Tms Rmn;Times New Roman"/>
              </w:rPr>
            </w:pPr>
            <w:r>
              <w:rPr>
                <w:rFonts w:cs="Tms Rmn;Times New Roman" w:ascii="Tms Rmn;Times New Roman" w:hAnsi="Tms Rmn;Times New Roman"/>
              </w:rPr>
            </w:r>
          </w:p>
        </w:tc>
      </w:tr>
      <w:tr>
        <w:trPr/>
        <w:tc>
          <w:tcPr>
            <w:tcW w:w="4518" w:type="dxa"/>
            <w:tcBorders/>
          </w:tcPr>
          <w:p>
            <w:pPr>
              <w:pStyle w:val="Normal"/>
              <w:tabs>
                <w:tab w:val="clear" w:pos="720"/>
                <w:tab w:val="left" w:pos="3960" w:leader="none"/>
                <w:tab w:val="left" w:pos="4320" w:leader="none"/>
                <w:tab w:val="left" w:pos="9180" w:leader="none"/>
              </w:tabs>
              <w:spacing w:lineRule="atLeast" w:line="240"/>
              <w:jc w:val="both"/>
              <w:rPr>
                <w:rFonts w:ascii="Tms Rmn;Times New Roman" w:hAnsi="Tms Rmn;Times New Roman" w:cs="Tms Rmn;Times New Roman"/>
              </w:rPr>
            </w:pPr>
            <w:r>
              <w:rPr>
                <w:rFonts w:cs="Tms Rmn;Times New Roman" w:ascii="Tms Rmn;Times New Roman" w:hAnsi="Tms Rmn;Times New Roman"/>
              </w:rPr>
              <w:t xml:space="preserve">(Date) </w:t>
            </w:r>
            <w:r>
              <w:rPr>
                <w:rFonts w:cs="Tms Rmn;Times New Roman" w:ascii="Tms Rmn;Times New Roman" w:hAnsi="Tms Rmn;Times New Roman"/>
                <w:u w:val="single"/>
              </w:rPr>
              <w:tab/>
            </w:r>
          </w:p>
        </w:tc>
        <w:tc>
          <w:tcPr>
            <w:tcW w:w="5130" w:type="dxa"/>
            <w:tcBorders/>
          </w:tcPr>
          <w:p>
            <w:pPr>
              <w:pStyle w:val="Normal"/>
              <w:tabs>
                <w:tab w:val="clear" w:pos="720"/>
                <w:tab w:val="left" w:pos="3510" w:leader="none"/>
                <w:tab w:val="left" w:pos="3960" w:leader="none"/>
                <w:tab w:val="left" w:pos="4320" w:leader="none"/>
                <w:tab w:val="left" w:pos="9180" w:leader="none"/>
              </w:tabs>
              <w:snapToGrid w:val="false"/>
              <w:spacing w:lineRule="atLeast" w:line="240"/>
              <w:jc w:val="both"/>
              <w:rPr>
                <w:rFonts w:ascii="Tms Rmn;Times New Roman" w:hAnsi="Tms Rmn;Times New Roman" w:cs="Tms Rmn;Times New Roman"/>
              </w:rPr>
            </w:pPr>
            <w:r>
              <w:rPr>
                <w:rFonts w:cs="Tms Rmn;Times New Roman" w:ascii="Tms Rmn;Times New Roman" w:hAnsi="Tms Rmn;Times New Roman"/>
              </w:rPr>
            </w:r>
          </w:p>
        </w:tc>
        <w:tc>
          <w:tcPr>
            <w:tcW w:w="810" w:type="dxa"/>
            <w:tcBorders/>
            <w:tcMar>
              <w:start w:w="0" w:type="dxa"/>
              <w:end w:w="0" w:type="dxa"/>
            </w:tcMar>
          </w:tcPr>
          <w:p>
            <w:pPr>
              <w:pStyle w:val="Normal"/>
              <w:snapToGrid w:val="false"/>
              <w:rPr>
                <w:rFonts w:ascii="Tms Rmn;Times New Roman" w:hAnsi="Tms Rmn;Times New Roman" w:cs="Tms Rmn;Times New Roman"/>
              </w:rPr>
            </w:pPr>
            <w:r>
              <w:rPr>
                <w:rFonts w:cs="Tms Rmn;Times New Roman" w:ascii="Tms Rmn;Times New Roman" w:hAnsi="Tms Rmn;Times New Roman"/>
              </w:rPr>
            </w:r>
          </w:p>
        </w:tc>
      </w:tr>
    </w:tbl>
    <w:p>
      <w:pPr>
        <w:pStyle w:val="Normal"/>
        <w:rPr/>
      </w:pPr>
      <w:r>
        <w:rPr/>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/mnt/main-storage/datasets/enron-docs/doc/2000_12amd.doc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510" w:leader="none"/>
        <w:tab w:val="left" w:pos="3960" w:leader="none"/>
        <w:tab w:val="left" w:pos="4320" w:leader="none"/>
        <w:tab w:val="left" w:pos="9180" w:leader="none"/>
      </w:tabs>
      <w:spacing w:lineRule="atLeast" w:line="240"/>
      <w:jc w:val="both"/>
      <w:outlineLvl w:val="0"/>
    </w:pPr>
    <w:rPr>
      <w:rFonts w:ascii="Tms Rmn;Times New Roman" w:hAnsi="Tms Rmn;Times New Roman" w:cs="Tms Rmn;Times New Roman"/>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3960" w:leader="none"/>
        <w:tab w:val="left" w:pos="5280" w:leader="none"/>
        <w:tab w:val="left" w:pos="9180" w:leader="none"/>
      </w:tabs>
      <w:spacing w:lineRule="atLeast" w:line="240"/>
      <w:ind w:hanging="0" w:start="0" w:end="360"/>
      <w:jc w:val="both"/>
    </w:pPr>
    <w:rPr>
      <w:rFonts w:ascii="Tms Rmn;Times New Roman" w:hAnsi="Tms Rmn;Times New Roman" w:cs="Tms Rmn;Times New Roman"/>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Footer">
    <w:name w:val="footer"/>
    <w:basedOn w:val="Normal"/>
    <w:pPr>
      <w:tabs>
        <w:tab w:val="clear" w:pos="720"/>
        <w:tab w:val="center" w:pos="4320" w:leader="none"/>
        <w:tab w:val="right" w:pos="8640" w:leader="none"/>
      </w:tabs>
    </w:pPr>
    <w:rPr>
      <w:sz w:val="20"/>
      <w:szCs w:val="20"/>
    </w:rPr>
  </w:style>
  <w:style w:type="paragraph" w:styleId="BodyText2">
    <w:name w:val="Body Text 2"/>
    <w:basedOn w:val="Normal"/>
    <w:qFormat/>
    <w:pPr>
      <w:jc w:val="both"/>
    </w:pPr>
    <w:rPr>
      <w:szCs w:val="20"/>
    </w:rPr>
  </w:style>
  <w:style w:type="paragraph" w:styleId="BlockText">
    <w:name w:val="Block Text"/>
    <w:basedOn w:val="Normal"/>
    <w:qFormat/>
    <w:pPr>
      <w:ind w:hanging="0" w:start="720" w:end="720"/>
      <w:jc w:val="both"/>
    </w:pPr>
    <w:rPr>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2000-11-20T17:37:00Z</dcterms:created>
  <dc:creator>dhyvl</dc:creator>
  <dc:description/>
  <dc:language>en-CA</dc:language>
  <cp:lastModifiedBy>dhyvl</cp:lastModifiedBy>
  <cp:lastPrinted>2000-11-20T15:20:00Z</cp:lastPrinted>
  <dcterms:modified xsi:type="dcterms:W3CDTF">2000-11-20T18:50:00Z</dcterms:modified>
  <cp:revision>3</cp:revision>
  <dc:subject/>
  <dc:title>AMENDMENT #2 TO GAS SALES CONTRACT</dc:title>
</cp:coreProperties>
</file>