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Amendment to ENFOLIO® Master Firm Purchase/Sale Agreement</w:t>
      </w:r>
    </w:p>
    <w:p>
      <w:pPr>
        <w:pStyle w:val="Heading"/>
        <w:rPr/>
      </w:pPr>
      <w:r>
        <w:rPr/>
      </w:r>
    </w:p>
    <w:p>
      <w:pPr>
        <w:pStyle w:val="Justified"/>
        <w:rPr>
          <w:rFonts w:ascii="Times New Roman" w:hAnsi="Times New Roman" w:cs="Times New Roman"/>
          <w:sz w:val="24"/>
        </w:rPr>
      </w:pPr>
      <w:r>
        <w:rPr>
          <w:rFonts w:cs="Times New Roman" w:ascii="Times New Roman" w:hAnsi="Times New Roman"/>
          <w:sz w:val="24"/>
        </w:rPr>
        <w:tab/>
        <w:t>THIS Amendment to ENFOLIO® Master Firm Purchase/Sale Agreement, made and entered into effective as of the 1st day of December, 2000, by and between Enron North America Corp., a Delaware corporation, hereinafter referred to as "Company", and Citizens Utilities Company, a Delaware corporation, hereinafter referred to as "Customer";</w:t>
      </w:r>
    </w:p>
    <w:p>
      <w:pPr>
        <w:pStyle w:val="Expanded"/>
        <w:spacing w:before="0" w:after="120"/>
        <w:rPr>
          <w:rFonts w:ascii="Times New Roman" w:hAnsi="Times New Roman" w:cs="Times New Roman"/>
          <w:sz w:val="24"/>
        </w:rPr>
      </w:pPr>
      <w:r>
        <w:rPr>
          <w:rFonts w:cs="Times New Roman" w:ascii="Times New Roman" w:hAnsi="Times New Roman"/>
          <w:sz w:val="24"/>
        </w:rPr>
        <w:t>WITNESSETH:</w:t>
      </w:r>
    </w:p>
    <w:p>
      <w:pPr>
        <w:pStyle w:val="Justified"/>
        <w:rPr>
          <w:rFonts w:ascii="Times New Roman" w:hAnsi="Times New Roman" w:cs="Times New Roman"/>
          <w:sz w:val="24"/>
        </w:rPr>
      </w:pPr>
      <w:r>
        <w:rPr>
          <w:rFonts w:cs="Times New Roman" w:ascii="Times New Roman" w:hAnsi="Times New Roman"/>
          <w:sz w:val="24"/>
        </w:rPr>
        <w:tab/>
        <w:t>THAT WHEREAS, Company, successor in interest by merger to Enron Gas Marketing, Inc., and Customer are parties to that certain Enfolio® Master Firm Purchase/Sale Agreement dated effective as of November 1, 1994 (the“Agreement”) covering the terms and conditions relative to certain purchase or sales transactions to be entered into from time to time by the Parties; and</w:t>
      </w:r>
    </w:p>
    <w:p>
      <w:pPr>
        <w:pStyle w:val="Justified"/>
        <w:rPr>
          <w:rFonts w:ascii="Times New Roman" w:hAnsi="Times New Roman" w:cs="Times New Roman"/>
          <w:sz w:val="24"/>
        </w:rPr>
      </w:pPr>
      <w:r>
        <w:rPr>
          <w:rFonts w:cs="Times New Roman" w:ascii="Times New Roman" w:hAnsi="Times New Roman"/>
          <w:sz w:val="24"/>
        </w:rPr>
        <w:tab/>
        <w:t xml:space="preserve">WHEREAS, Company and Customer express a mutual desire to amend the Agreement as hereinafter provided. </w:t>
      </w:r>
    </w:p>
    <w:p>
      <w:pPr>
        <w:pStyle w:val="Justified"/>
        <w:rPr>
          <w:rFonts w:ascii="Times New Roman" w:hAnsi="Times New Roman" w:cs="Times New Roman"/>
          <w:sz w:val="24"/>
        </w:rPr>
      </w:pPr>
      <w:r>
        <w:rPr>
          <w:rFonts w:cs="Times New Roman" w:ascii="Times New Roman" w:hAnsi="Times New Roman"/>
          <w:sz w:val="24"/>
        </w:rPr>
        <w:tab/>
        <w:t>NOW, THEREFORE, in consideration of the sum of Ten and no/100 Dollars ($10.00) to be paid by Customer to Company, the receipt and sufficiency of which are hereby acknowledged, and of the mutual covenants and agreements herein set forth, the parties hereto agree that the Agreement is amended, effective as of the date first hereinabove written, by adding immediately after the last provision contained in Appendix “1” thereto the following new provision, to-wit:</w:t>
      </w:r>
    </w:p>
    <w:p>
      <w:pPr>
        <w:pStyle w:val="Normal"/>
        <w:ind w:start="720" w:end="720"/>
        <w:jc w:val="both"/>
        <w:rPr/>
      </w:pPr>
      <w:r>
        <w:rPr/>
        <w:t>“</w:t>
      </w:r>
      <w:r>
        <w:rPr>
          <w:rFonts w:eastAsia="Symbol" w:cs="Symbol" w:ascii="Symbol" w:hAnsi="Symbol"/>
          <w:b/>
        </w:rPr>
        <w:sym w:font="Symbol" w:char="f0b7"/>
      </w:r>
      <w:r>
        <w:rPr>
          <w:b/>
          <w:u w:val="single"/>
        </w:rPr>
        <w:t>Flexible Pricing</w:t>
      </w:r>
      <w:r>
        <w:rPr/>
        <w:t xml:space="preserve"> During the Period of Delivery for a Transaction entered into pursuant to this Agreement,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Parties agree that unless otherwise expressly set forth in the Transaction Agreement, the volumes covered by any Flexible Pricing provision shall be deemed to be the first volumes to be delived pursuant to a Transaction each Day.  The terms of this Agreement, including, without limitation, </w:t>
      </w:r>
      <w:r>
        <w:rPr>
          <w:u w:val="single"/>
        </w:rPr>
        <w:t>Article 2</w:t>
      </w:r>
      <w:r>
        <w:rPr/>
        <w:t xml:space="preserve">, shall apply to Flexible Pricing in respect of any Transaction hereunder.  A Confirmation may be sent by Company to Customer confirming the Flexible Pricing agreement in accordance with </w:t>
      </w:r>
      <w:r>
        <w:rPr>
          <w:u w:val="single"/>
        </w:rPr>
        <w:t>Section 2.4</w:t>
      </w:r>
      <w:r>
        <w:rPr/>
        <w:t>.  "</w:t>
      </w:r>
      <w:r>
        <w:rPr>
          <w:u w:val="single"/>
        </w:rPr>
        <w:t>Fixed Price</w:t>
      </w:r>
      <w:r>
        <w:rPr/>
        <w:t>" means a fixed dollar amount agreed to by the Parties.  "</w:t>
      </w:r>
      <w:r>
        <w:rPr>
          <w:u w:val="single"/>
        </w:rPr>
        <w:t>Fixed Basis Price</w:t>
      </w:r>
      <w:r>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u w:val="single"/>
        </w:rPr>
        <w:t>Average Settlement Price</w:t>
      </w:r>
      <w:r>
        <w:rPr/>
        <w:t xml:space="preserve">") </w:t>
      </w:r>
      <w:r>
        <w:rPr>
          <w:u w:val="single"/>
        </w:rPr>
        <w:t>plus</w:t>
      </w:r>
      <w:r>
        <w:rPr/>
        <w:t xml:space="preserve"> a fixed dollar amount basis adjustment agreed to by the Parties.  "</w:t>
      </w:r>
      <w:r>
        <w:rPr>
          <w:u w:val="single"/>
        </w:rPr>
        <w:t>Floating Basis Price</w:t>
      </w:r>
      <w:r>
        <w:rPr/>
        <w:t xml:space="preserve">" means a price equal to the sum of a fixed dollar amount agreed to by the Parties </w:t>
      </w:r>
      <w:r>
        <w:rPr>
          <w:u w:val="single"/>
        </w:rPr>
        <w:t>plus</w:t>
      </w:r>
      <w:r>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r>
        <w:rPr>
          <w:rFonts w:cs="Arial Narrow" w:ascii="Arial Narrow" w:hAnsi="Arial Narrow"/>
          <w:sz w:val="18"/>
        </w:rPr>
        <w:t>.</w:t>
      </w:r>
      <w:r>
        <w:rPr/>
        <w:t>”</w:t>
      </w:r>
    </w:p>
    <w:p>
      <w:pPr>
        <w:pStyle w:val="Normal"/>
        <w:ind w:start="720" w:end="720"/>
        <w:jc w:val="both"/>
        <w:rPr/>
      </w:pPr>
      <w:r>
        <w:rPr/>
      </w:r>
    </w:p>
    <w:p>
      <w:pPr>
        <w:pStyle w:val="Justified"/>
        <w:ind w:firstLine="720" w:end="0"/>
        <w:rPr>
          <w:rFonts w:ascii="Times New Roman" w:hAnsi="Times New Roman" w:cs="Times New Roman"/>
          <w:sz w:val="24"/>
        </w:rPr>
      </w:pPr>
      <w:r>
        <w:rPr>
          <w:rFonts w:cs="Times New Roman" w:ascii="Times New Roman" w:hAnsi="Times New Roman"/>
          <w:sz w:val="24"/>
        </w:rPr>
        <w:t>Except as amended herein, said Agreement shall remain in full force and effect as written.</w:t>
      </w:r>
    </w:p>
    <w:p>
      <w:pPr>
        <w:pStyle w:val="Justified"/>
        <w:rPr>
          <w:rFonts w:ascii="Times New Roman" w:hAnsi="Times New Roman" w:cs="Times New Roman"/>
          <w:sz w:val="24"/>
        </w:rPr>
      </w:pPr>
      <w:r>
        <w:rPr>
          <w:rFonts w:cs="Times New Roman" w:ascii="Times New Roman" w:hAnsi="Times New Roman"/>
          <w:sz w:val="24"/>
        </w:rPr>
        <w:tab/>
        <w:t>IN WITNESS WHEREOF, the parties hereto have caused this instrument to be executed in multiple originals effective as of the date first hereinabove contained.</w:t>
      </w:r>
    </w:p>
    <w:p>
      <w:pPr>
        <w:pStyle w:val="Heading2"/>
        <w:rPr>
          <w:rFonts w:ascii="Times New Roman" w:hAnsi="Times New Roman" w:cs="Times New Roman"/>
          <w:sz w:val="24"/>
        </w:rPr>
      </w:pPr>
      <w:r>
        <w:rPr>
          <w:rFonts w:cs="Times New Roman" w:ascii="Times New Roman" w:hAnsi="Times New Roman"/>
          <w:sz w:val="24"/>
        </w:rPr>
      </w:r>
    </w:p>
    <w:tbl>
      <w:tblPr>
        <w:tblW w:w="9583" w:type="dxa"/>
        <w:jc w:val="start"/>
        <w:tblInd w:w="0" w:type="dxa"/>
        <w:tblLayout w:type="fixed"/>
        <w:tblCellMar>
          <w:top w:w="0" w:type="dxa"/>
          <w:start w:w="108" w:type="dxa"/>
          <w:bottom w:w="0" w:type="dxa"/>
          <w:end w:w="108" w:type="dxa"/>
        </w:tblCellMar>
      </w:tblPr>
      <w:tblGrid>
        <w:gridCol w:w="5148"/>
        <w:gridCol w:w="4320"/>
        <w:gridCol w:w="115"/>
      </w:tblGrid>
      <w:tr>
        <w:trPr/>
        <w:tc>
          <w:tcPr>
            <w:tcW w:w="5148" w:type="dxa"/>
            <w:tcBorders/>
          </w:tcPr>
          <w:p>
            <w:pPr>
              <w:pStyle w:val="Normal"/>
              <w:snapToGrid w:val="false"/>
              <w:jc w:val="both"/>
              <w:rPr/>
            </w:pPr>
            <w:r>
              <w:rPr/>
            </w:r>
          </w:p>
        </w:tc>
        <w:tc>
          <w:tcPr>
            <w:tcW w:w="4320" w:type="dxa"/>
            <w:tcBorders/>
          </w:tcPr>
          <w:p>
            <w:pPr>
              <w:pStyle w:val="Normal"/>
              <w:jc w:val="both"/>
              <w:rPr/>
            </w:pPr>
            <w:r>
              <w:rPr/>
              <w:t>ENRON NORTH AMERICA CORP.</w:t>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jc w:val="both"/>
              <w:rPr/>
            </w:pPr>
            <w:r>
              <w:rPr/>
            </w:r>
          </w:p>
        </w:tc>
        <w:tc>
          <w:tcPr>
            <w:tcW w:w="4320" w:type="dxa"/>
            <w:tcBorders/>
          </w:tcPr>
          <w:p>
            <w:pPr>
              <w:pStyle w:val="Normal"/>
              <w:snapToGrid w:val="false"/>
              <w:jc w:val="both"/>
              <w:rPr/>
            </w:pPr>
            <w:r>
              <w:rPr/>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jc w:val="both"/>
              <w:rPr/>
            </w:pPr>
            <w:r>
              <w:rPr/>
            </w:r>
          </w:p>
        </w:tc>
        <w:tc>
          <w:tcPr>
            <w:tcW w:w="4320" w:type="dxa"/>
            <w:tcBorders/>
          </w:tcPr>
          <w:p>
            <w:pPr>
              <w:pStyle w:val="Normal"/>
              <w:jc w:val="both"/>
              <w:rPr/>
            </w:pPr>
            <w:r>
              <w:rPr/>
              <w:t>By __________________________</w:t>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jc w:val="both"/>
              <w:rPr/>
            </w:pPr>
            <w:r>
              <w:rPr/>
            </w:r>
          </w:p>
        </w:tc>
        <w:tc>
          <w:tcPr>
            <w:tcW w:w="4320" w:type="dxa"/>
            <w:tcBorders/>
          </w:tcPr>
          <w:p>
            <w:pPr>
              <w:pStyle w:val="Normal"/>
              <w:jc w:val="both"/>
              <w:rPr/>
            </w:pPr>
            <w:r>
              <w:rPr/>
              <w:t>Title : ________________________</w:t>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jc w:val="both"/>
              <w:rPr/>
            </w:pPr>
            <w:r>
              <w:rPr/>
            </w:r>
          </w:p>
        </w:tc>
        <w:tc>
          <w:tcPr>
            <w:tcW w:w="4320" w:type="dxa"/>
            <w:tcBorders/>
          </w:tcPr>
          <w:p>
            <w:pPr>
              <w:pStyle w:val="Normal"/>
              <w:snapToGrid w:val="false"/>
              <w:jc w:val="both"/>
              <w:rPr/>
            </w:pPr>
            <w:r>
              <w:rPr/>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jc w:val="both"/>
              <w:rPr/>
            </w:pPr>
            <w:r>
              <w:rPr/>
            </w:r>
          </w:p>
        </w:tc>
        <w:tc>
          <w:tcPr>
            <w:tcW w:w="4320" w:type="dxa"/>
            <w:tcBorders/>
          </w:tcPr>
          <w:p>
            <w:pPr>
              <w:pStyle w:val="Normal"/>
              <w:jc w:val="center"/>
              <w:rPr/>
            </w:pPr>
            <w:r>
              <w:rPr/>
              <w:t>"Company"</w:t>
            </w:r>
          </w:p>
          <w:p>
            <w:pPr>
              <w:pStyle w:val="Normal"/>
              <w:jc w:val="center"/>
              <w:rPr/>
            </w:pPr>
            <w:r>
              <w:rPr/>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jc w:val="both"/>
              <w:rPr/>
            </w:pPr>
            <w:r>
              <w:rPr/>
            </w:r>
          </w:p>
        </w:tc>
        <w:tc>
          <w:tcPr>
            <w:tcW w:w="4320" w:type="dxa"/>
            <w:tcBorders/>
          </w:tcPr>
          <w:p>
            <w:pPr>
              <w:pStyle w:val="Normal"/>
              <w:snapToGrid w:val="false"/>
              <w:jc w:val="both"/>
              <w:rPr/>
            </w:pPr>
            <w:r>
              <w:rPr/>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jc w:val="both"/>
              <w:rPr/>
            </w:pPr>
            <w:r>
              <w:rPr/>
            </w:r>
          </w:p>
        </w:tc>
        <w:tc>
          <w:tcPr>
            <w:tcW w:w="4435" w:type="dxa"/>
            <w:gridSpan w:val="2"/>
            <w:tcBorders/>
          </w:tcPr>
          <w:p>
            <w:pPr>
              <w:pStyle w:val="Normal"/>
              <w:jc w:val="both"/>
              <w:rPr/>
            </w:pPr>
            <w:r>
              <w:rPr/>
              <w:t>CITIZENS UTILITIES COMPANY</w:t>
            </w:r>
          </w:p>
        </w:tc>
      </w:tr>
      <w:tr>
        <w:trPr/>
        <w:tc>
          <w:tcPr>
            <w:tcW w:w="5148" w:type="dxa"/>
            <w:tcBorders/>
          </w:tcPr>
          <w:p>
            <w:pPr>
              <w:pStyle w:val="Normal"/>
              <w:snapToGrid w:val="false"/>
              <w:jc w:val="both"/>
              <w:rPr/>
            </w:pPr>
            <w:r>
              <w:rPr/>
            </w:r>
          </w:p>
        </w:tc>
        <w:tc>
          <w:tcPr>
            <w:tcW w:w="4320" w:type="dxa"/>
            <w:tcBorders/>
          </w:tcPr>
          <w:p>
            <w:pPr>
              <w:pStyle w:val="Normal"/>
              <w:snapToGrid w:val="false"/>
              <w:jc w:val="both"/>
              <w:rPr/>
            </w:pPr>
            <w:r>
              <w:rPr/>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jc w:val="both"/>
              <w:rPr/>
            </w:pPr>
            <w:r>
              <w:rPr/>
            </w:r>
          </w:p>
        </w:tc>
        <w:tc>
          <w:tcPr>
            <w:tcW w:w="4320" w:type="dxa"/>
            <w:tcBorders/>
          </w:tcPr>
          <w:p>
            <w:pPr>
              <w:pStyle w:val="Normal"/>
              <w:jc w:val="both"/>
              <w:rPr/>
            </w:pPr>
            <w:r>
              <w:rPr/>
              <w:t>By __________________________</w:t>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jc w:val="both"/>
              <w:rPr/>
            </w:pPr>
            <w:r>
              <w:rPr/>
            </w:r>
          </w:p>
        </w:tc>
        <w:tc>
          <w:tcPr>
            <w:tcW w:w="4320" w:type="dxa"/>
            <w:tcBorders/>
          </w:tcPr>
          <w:p>
            <w:pPr>
              <w:pStyle w:val="Normal"/>
              <w:jc w:val="both"/>
              <w:rPr/>
            </w:pPr>
            <w:r>
              <w:rPr/>
              <w:t>Title: ________________________</w:t>
            </w:r>
          </w:p>
          <w:p>
            <w:pPr>
              <w:pStyle w:val="Normal"/>
              <w:jc w:val="both"/>
              <w:rPr/>
            </w:pPr>
            <w:r>
              <w:rPr/>
            </w:r>
          </w:p>
        </w:tc>
        <w:tc>
          <w:tcPr>
            <w:tcW w:w="115" w:type="dxa"/>
            <w:tcBorders/>
            <w:tcMar>
              <w:start w:w="0" w:type="dxa"/>
              <w:end w:w="0" w:type="dxa"/>
            </w:tcMar>
          </w:tcPr>
          <w:p>
            <w:pPr>
              <w:pStyle w:val="Normal"/>
              <w:snapToGrid w:val="false"/>
              <w:rPr/>
            </w:pPr>
            <w:r>
              <w:rPr/>
            </w:r>
          </w:p>
        </w:tc>
      </w:tr>
      <w:tr>
        <w:trPr/>
        <w:tc>
          <w:tcPr>
            <w:tcW w:w="5148" w:type="dxa"/>
            <w:tcBorders/>
          </w:tcPr>
          <w:p>
            <w:pPr>
              <w:pStyle w:val="Normal"/>
              <w:snapToGrid w:val="false"/>
              <w:jc w:val="both"/>
              <w:rPr/>
            </w:pPr>
            <w:r>
              <w:rPr/>
            </w:r>
          </w:p>
        </w:tc>
        <w:tc>
          <w:tcPr>
            <w:tcW w:w="4320" w:type="dxa"/>
            <w:tcBorders/>
          </w:tcPr>
          <w:p>
            <w:pPr>
              <w:pStyle w:val="Normal"/>
              <w:jc w:val="center"/>
              <w:rPr/>
            </w:pPr>
            <w:r>
              <w:rPr/>
              <w:t>"Customer"</w:t>
            </w:r>
          </w:p>
        </w:tc>
        <w:tc>
          <w:tcPr>
            <w:tcW w:w="115" w:type="dxa"/>
            <w:tcBorders/>
            <w:tcMar>
              <w:start w:w="0" w:type="dxa"/>
              <w:end w:w="0" w:type="dxa"/>
            </w:tcMar>
          </w:tcPr>
          <w:p>
            <w:pPr>
              <w:pStyle w:val="Normal"/>
              <w:snapToGrid w:val="false"/>
              <w:rPr/>
            </w:pPr>
            <w:r>
              <w:rPr/>
            </w:r>
          </w:p>
        </w:tc>
      </w:tr>
    </w:tbl>
    <w:p>
      <w:pPr>
        <w:pStyle w:val="Header"/>
        <w:tabs>
          <w:tab w:val="clear" w:pos="4320"/>
          <w:tab w:val="clear" w:pos="8640"/>
        </w:tabs>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/mnt/main-storage/datasets/enron-docs/doc/2000_11amd.doc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ourier" w:hAnsi="Courier" w:cs="Courier"/>
      <w:sz w:val="26"/>
      <w:szCs w:val="20"/>
    </w:rPr>
  </w:style>
  <w:style w:type="character" w:styleId="DefaultParagraphFont">
    <w:name w:val="Default Paragraph Font"/>
    <w:qFormat/>
    <w:rPr/>
  </w:style>
  <w:style w:type="paragraph" w:styleId="Heading">
    <w:name w:val="Heading"/>
    <w:basedOn w:val="Normal"/>
    <w:next w:val="BodyText"/>
    <w:qFormat/>
    <w:pPr>
      <w:jc w:val="center"/>
    </w:pPr>
    <w:rPr>
      <w:szCs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Courier" w:hAnsi="Courier" w:cs="Courier"/>
      <w:sz w:val="26"/>
      <w:szCs w:val="20"/>
    </w:rPr>
  </w:style>
  <w:style w:type="paragraph" w:styleId="Expanded">
    <w:name w:val="Expanded"/>
    <w:basedOn w:val="Normal"/>
    <w:next w:val="Normal"/>
    <w:qFormat/>
    <w:pPr>
      <w:spacing w:before="0" w:after="240"/>
      <w:jc w:val="center"/>
    </w:pPr>
    <w:rPr>
      <w:rFonts w:ascii="Courier" w:hAnsi="Courier" w:cs="Courier"/>
      <w:b/>
      <w:caps/>
      <w:spacing w:val="60"/>
      <w:sz w:val="26"/>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2000-11-19T19:32:00Z</dcterms:created>
  <dc:creator>dhyvl</dc:creator>
  <dc:description/>
  <dc:language>en-CA</dc:language>
  <cp:lastModifiedBy>jhelton</cp:lastModifiedBy>
  <cp:lastPrinted>2000-11-20T09:45:00Z</cp:lastPrinted>
  <dcterms:modified xsi:type="dcterms:W3CDTF">2000-11-20T13:15:00Z</dcterms:modified>
  <cp:revision>4</cp:revision>
  <dc:subject/>
  <dc:title>Amendment to ENFOLIO® Master Firm Purchase/Sale Agreement</dc:title>
</cp:coreProperties>
</file>