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b/>
          <w:bCs/>
          <w:sz w:val="18"/>
        </w:rPr>
        <w:t>ENRON NORTH AMERICA CORP.</w:t>
      </w:r>
      <w:r>
        <w:rPr>
          <w:rFonts w:cs="Arial Narrow" w:ascii="Arial Narrow" w:hAnsi="Arial Narrow"/>
          <w:sz w:val="18"/>
        </w:rPr>
        <w:t>, 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bCs/>
          <w:sz w:val="18"/>
        </w:rPr>
        <w:t>GREAT RIVER ENERGY</w:t>
      </w:r>
      <w:r>
        <w:rPr>
          <w:rFonts w:cs="Arial Narrow" w:ascii="Arial Narrow" w:hAnsi="Arial Narrow"/>
          <w:sz w:val="18"/>
        </w:rPr>
        <w:t>, a Minnesota cooperative corporation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1st Day of July, 2000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w:t>
      </w:r>
      <w:r>
        <w:rPr>
          <w:rFonts w:cs="Arial Narrow" w:ascii="Arial Narrow" w:hAnsi="Arial Narrow"/>
          <w:b/>
          <w:sz w:val="18"/>
        </w:rPr>
        <w:t xml:space="preserve"> </w:t>
      </w: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Cs/>
          <w:sz w:val="18"/>
        </w:rPr>
        <w:t>Enron Corp</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Enron Corp. in excess of $100,000,000.00, or with respect to Customer, at any time, Customer shall have defaulted on its indebted</w:t>
        <w:softHyphen/>
        <w:t>ness to third parties, resulting in an acceleration of obligations of Customer in excess of $25,000,000.00.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Collateral Requirement/Termination Payment Threshold</w:t>
      </w:r>
      <w:r>
        <w:rPr>
          <w:rFonts w:cs="Arial Narrow" w:ascii="Arial Narrow" w:hAnsi="Arial Narrow"/>
          <w:sz w:val="18"/>
        </w:rPr>
        <w:t xml:space="preserve">.  (a) If at any time and from time to time during the term of this Agreement (and notwithstanding whether a Triggering Event has occurred) the Termination Payment that would be owed to a Company in respect of all Transactions then outstanding should exceed $5,000,000.00, Company as the Beneficiary Party may request Customer to establish a Letter of Credit as the Account Party in an amount equal to the Termination Payment in excess of $5,000,000.00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sz w:val="18"/>
        </w:rPr>
        <w:t xml:space="preserve">(b) If at any time and from time to time during the term of this Agreement (and notwithstanding whether a Triggering Event has occurred) the Termination Payment that would be owed to a Customer in respect of all Transactions then outstanding should exceed $25,000,000.00, Customer as the Beneficiary Party may request Company to establish a Letter of Credit as the Account Party in an amount equal to the Termination Payment in excess of $25,000,000.00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$250,000.00.  For purposes of this Section 4.5,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b/>
          <w:bCs/>
          <w:sz w:val="18"/>
        </w:rPr>
      </w:pPr>
      <w:r>
        <w:rPr>
          <w:rFonts w:cs="Arial Narrow" w:ascii="Arial Narrow" w:hAnsi="Arial Narrow"/>
          <w:b/>
          <w:bCs/>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bCs/>
          <w:sz w:val="18"/>
        </w:rPr>
        <w:t>GREAT RIVER ENERGY</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w:t>
      </w:r>
      <w:r>
        <w:rPr>
          <w:rFonts w:cs="Arial Narrow" w:ascii="Arial Narrow" w:hAnsi="Arial Narrow"/>
          <w:sz w:val="18"/>
        </w:rPr>
        <w:t>means (i) with respect to Customer, Customer shall have long-term debt unsupported by third party credit enhancement that is rated by Fitch IBCA below BBB- or (ii) with respect to Company, Enron Corp. shall have long-term debt unsupported by third party credit enhancement that is rated by Standard &amp; Poor's Corporation below BBB-.</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4"/>
          <w:footerReference w:type="first" r:id="rId5"/>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6"/>
          <w:footerReference w:type="first" r:id="rId7"/>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8"/>
          <w:footerReference w:type="first" r:id="rId9"/>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0"/>
          <w:footerReference w:type="first" r:id="rId11"/>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2"/>
      <w:footerReference w:type="first" r:id="rId13"/>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2000-06-05T17:57:00Z</dcterms:created>
  <dc:creator>jdobern</dc:creator>
  <dc:description/>
  <dc:language>en-CA</dc:language>
  <cp:lastModifiedBy>dhyvl</cp:lastModifiedBy>
  <cp:lastPrinted>1999-09-16T15:58:00Z</cp:lastPrinted>
  <dcterms:modified xsi:type="dcterms:W3CDTF">2000-06-16T12:29:00Z</dcterms:modified>
  <cp:revision>6</cp:revision>
  <dc:subject/>
  <dc:title>SAMPLE CONTRACT</dc:title>
</cp:coreProperties>
</file>