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Normal"/>
        <w:rPr/>
      </w:pPr>
      <w:r>
        <w:rPr/>
      </w:r>
    </w:p>
    <w:p>
      <w:pPr>
        <w:pStyle w:val="Normal"/>
        <w:jc w:val="center"/>
        <w:rPr/>
      </w:pPr>
      <w:r>
        <w:rPr/>
        <w:t>November 13, 2000</w:t>
      </w:r>
    </w:p>
    <w:p>
      <w:pPr>
        <w:pStyle w:val="Normal"/>
        <w:jc w:val="both"/>
        <w:rPr/>
      </w:pPr>
      <w:r>
        <w:rPr/>
      </w:r>
    </w:p>
    <w:p>
      <w:pPr>
        <w:pStyle w:val="Normal"/>
        <w:jc w:val="both"/>
        <w:rPr/>
      </w:pPr>
      <w:r>
        <w:rPr/>
      </w:r>
    </w:p>
    <w:p>
      <w:pPr>
        <w:pStyle w:val="Normal"/>
        <w:jc w:val="both"/>
        <w:rPr/>
      </w:pPr>
      <w:r>
        <w:rPr/>
      </w:r>
    </w:p>
    <w:p>
      <w:pPr>
        <w:pStyle w:val="Normal"/>
        <w:jc w:val="both"/>
        <w:rPr/>
      </w:pPr>
      <w:r>
        <w:rPr/>
        <w:t>Valero Marketing &amp; Supply Company</w:t>
      </w:r>
    </w:p>
    <w:p>
      <w:pPr>
        <w:pStyle w:val="Normal"/>
        <w:jc w:val="both"/>
        <w:rPr/>
      </w:pPr>
      <w:r>
        <w:rPr/>
        <w:t>P. O. Box 500</w:t>
      </w:r>
    </w:p>
    <w:p>
      <w:pPr>
        <w:pStyle w:val="Normal"/>
        <w:jc w:val="both"/>
        <w:rPr/>
      </w:pPr>
      <w:r>
        <w:rPr/>
        <w:t>San Antonio, Texas 78292</w:t>
      </w:r>
    </w:p>
    <w:p>
      <w:pPr>
        <w:pStyle w:val="Normal"/>
        <w:jc w:val="both"/>
        <w:rPr/>
      </w:pPr>
      <w:r>
        <w:rPr/>
      </w:r>
    </w:p>
    <w:p>
      <w:pPr>
        <w:pStyle w:val="Normal"/>
        <w:tabs>
          <w:tab w:val="left" w:pos="720" w:leader="none"/>
        </w:tabs>
        <w:jc w:val="both"/>
        <w:rPr/>
      </w:pPr>
      <w:r>
        <w:rPr/>
        <w:tab/>
        <w:t>Attn:  David Dyck</w:t>
      </w:r>
    </w:p>
    <w:p>
      <w:pPr>
        <w:pStyle w:val="BodyText"/>
        <w:rPr>
          <w:sz w:val="20"/>
        </w:rPr>
      </w:pPr>
      <w:r>
        <w:rPr>
          <w:sz w:val="20"/>
        </w:rPr>
        <w:t>Transaction Agreement</w:t>
      </w:r>
    </w:p>
    <w:p>
      <w:pPr>
        <w:pStyle w:val="Normal"/>
        <w:jc w:val="center"/>
        <w:rPr>
          <w:b/>
          <w:sz w:val="20"/>
        </w:rPr>
      </w:pPr>
      <w:r>
        <w:rPr>
          <w:b/>
          <w:sz w:val="20"/>
        </w:rPr>
      </w:r>
    </w:p>
    <w:p>
      <w:pPr>
        <w:pStyle w:val="Normal"/>
        <w:jc w:val="both"/>
        <w:rPr/>
      </w:pPr>
      <w:r>
        <w:rPr/>
        <w:t>Gentlemen:</w:t>
      </w:r>
    </w:p>
    <w:p>
      <w:pPr>
        <w:pStyle w:val="Normal"/>
        <w:jc w:val="both"/>
        <w:rPr/>
      </w:pPr>
      <w:r>
        <w:rPr/>
      </w:r>
    </w:p>
    <w:p>
      <w:pPr>
        <w:pStyle w:val="BodyText2"/>
        <w:tabs>
          <w:tab w:val="clear" w:pos="690"/>
          <w:tab w:val="clear" w:pos="1440"/>
          <w:tab w:val="clear" w:pos="2160"/>
          <w:tab w:val="clear" w:pos="5280"/>
          <w:tab w:val="clear" w:pos="5472"/>
          <w:tab w:val="clear" w:pos="6480"/>
        </w:tabs>
        <w:rPr/>
      </w:pPr>
      <w:r>
        <w:rPr/>
        <w:tab/>
        <w:t xml:space="preserve">This Transaction Agreement (the "Agreement") shall form and effectuate the transaction agreed to and binding between Valero Marketing &amp; Supply Company ("Customer") and Houston Pipe Line Company ("Company") regarding the purchase and sale of gas on the following terms.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pPr>
      <w:r>
        <w:rPr/>
        <w:t>I.</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pPr>
      <w:r>
        <w:rPr/>
      </w:r>
    </w:p>
    <w:p>
      <w:pPr>
        <w:pStyle w:val="Normal"/>
        <w:ind w:firstLine="720" w:end="0"/>
        <w:jc w:val="both"/>
        <w:rPr/>
      </w:pPr>
      <w:r>
        <w:rPr/>
        <w:t>Customer to purchase and receive ("Buyer") and Company to sell and deliver ("Seller").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8856" w:type="dxa"/>
        <w:jc w:val="start"/>
        <w:tblInd w:w="0" w:type="dxa"/>
        <w:tblLayout w:type="fixed"/>
        <w:tblCellMar>
          <w:top w:w="0" w:type="dxa"/>
          <w:start w:w="108" w:type="dxa"/>
          <w:bottom w:w="0" w:type="dxa"/>
          <w:end w:w="108" w:type="dxa"/>
        </w:tblCellMar>
      </w:tblPr>
      <w:tblGrid>
        <w:gridCol w:w="3200"/>
        <w:gridCol w:w="5656"/>
      </w:tblGrid>
      <w:tr>
        <w:trPr/>
        <w:tc>
          <w:tcPr>
            <w:tcW w:w="3200" w:type="dxa"/>
            <w:tcBorders/>
          </w:tcPr>
          <w:p>
            <w:pPr>
              <w:pStyle w:val="Normal"/>
              <w:jc w:val="both"/>
              <w:rPr>
                <w:b/>
              </w:rPr>
            </w:pPr>
            <w:r>
              <w:rPr>
                <w:b/>
              </w:rPr>
              <w:t xml:space="preserve">QUANTITIES:  </w:t>
            </w:r>
          </w:p>
          <w:p>
            <w:pPr>
              <w:pStyle w:val="Normal"/>
              <w:tabs>
                <w:tab w:val="left" w:pos="720" w:leader="none"/>
              </w:tabs>
              <w:ind w:start="720" w:end="0"/>
              <w:jc w:val="both"/>
              <w:rPr>
                <w:b/>
              </w:rPr>
            </w:pPr>
            <w:r>
              <w:rPr>
                <w:b/>
              </w:rPr>
              <w:t>MinDQ:</w:t>
            </w:r>
          </w:p>
        </w:tc>
        <w:tc>
          <w:tcPr>
            <w:tcW w:w="5656" w:type="dxa"/>
            <w:tcBorders/>
          </w:tcPr>
          <w:p>
            <w:pPr>
              <w:pStyle w:val="Normal"/>
              <w:snapToGrid w:val="false"/>
              <w:jc w:val="both"/>
              <w:rPr>
                <w:b/>
              </w:rPr>
            </w:pPr>
            <w:r>
              <w:rPr>
                <w:b/>
              </w:rPr>
            </w:r>
          </w:p>
          <w:p>
            <w:pPr>
              <w:pStyle w:val="Normal"/>
              <w:jc w:val="both"/>
              <w:rPr/>
            </w:pPr>
            <w:r>
              <w:rPr/>
              <w:t>10,000 MMBtu of Gas per Day at HPL Meter # 1394.</w:t>
            </w:r>
          </w:p>
        </w:tc>
      </w:tr>
      <w:tr>
        <w:trPr/>
        <w:tc>
          <w:tcPr>
            <w:tcW w:w="3200" w:type="dxa"/>
            <w:tcBorders/>
          </w:tcPr>
          <w:p>
            <w:pPr>
              <w:pStyle w:val="Normal"/>
              <w:snapToGrid w:val="false"/>
              <w:ind w:start="720" w:end="0"/>
              <w:jc w:val="both"/>
              <w:rPr/>
            </w:pPr>
            <w:r>
              <w:rPr/>
            </w:r>
          </w:p>
          <w:p>
            <w:pPr>
              <w:pStyle w:val="Normal"/>
              <w:ind w:start="720" w:end="0"/>
              <w:jc w:val="both"/>
              <w:rPr/>
            </w:pPr>
            <w:r>
              <w:rPr/>
            </w:r>
          </w:p>
          <w:p>
            <w:pPr>
              <w:pStyle w:val="Normal"/>
              <w:ind w:start="720" w:end="0"/>
              <w:jc w:val="both"/>
              <w:rPr>
                <w:b/>
              </w:rPr>
            </w:pPr>
            <w:r>
              <w:rPr>
                <w:b/>
              </w:rPr>
            </w:r>
          </w:p>
          <w:p>
            <w:pPr>
              <w:pStyle w:val="Normal"/>
              <w:ind w:start="720" w:end="0"/>
              <w:jc w:val="both"/>
              <w:rPr>
                <w:b/>
              </w:rPr>
            </w:pPr>
            <w:r>
              <w:rPr>
                <w:b/>
              </w:rPr>
              <w:t>MaxDQ:</w:t>
            </w:r>
          </w:p>
        </w:tc>
        <w:tc>
          <w:tcPr>
            <w:tcW w:w="5656" w:type="dxa"/>
            <w:tcBorders/>
          </w:tcPr>
          <w:p>
            <w:pPr>
              <w:pStyle w:val="Normal"/>
              <w:jc w:val="both"/>
              <w:rPr/>
            </w:pPr>
            <w:r>
              <w:rPr/>
              <w:t>5,000 MMBtu of Gas per Day at HPL Meter # 8018.</w:t>
            </w:r>
          </w:p>
          <w:p>
            <w:pPr>
              <w:pStyle w:val="Normal"/>
              <w:jc w:val="both"/>
              <w:rPr/>
            </w:pPr>
            <w:r>
              <w:rPr/>
              <w:t>10,000 MMBtu of Gas per Day at HPL Meter # 1233.</w:t>
            </w:r>
          </w:p>
          <w:p>
            <w:pPr>
              <w:pStyle w:val="Normal"/>
              <w:jc w:val="both"/>
              <w:rPr/>
            </w:pPr>
            <w:r>
              <w:rPr/>
            </w:r>
          </w:p>
          <w:p>
            <w:pPr>
              <w:pStyle w:val="Normal"/>
              <w:jc w:val="both"/>
              <w:rPr/>
            </w:pPr>
            <w:r>
              <w:rPr/>
              <w:t>20,000 MMBtu of Gas per Day at HPL Meter # 1394.</w:t>
            </w:r>
          </w:p>
          <w:p>
            <w:pPr>
              <w:pStyle w:val="Normal"/>
              <w:jc w:val="both"/>
              <w:rPr/>
            </w:pPr>
            <w:r>
              <w:rPr/>
              <w:t>10,000 MMBtu of Gas per Day at HPL Meter # 8018</w:t>
            </w:r>
          </w:p>
          <w:p>
            <w:pPr>
              <w:pStyle w:val="Normal"/>
              <w:jc w:val="both"/>
              <w:rPr/>
            </w:pPr>
            <w:r>
              <w:rPr/>
              <w:t>25,000 MMBtu of Gas per Day at HPL Meter # 1233.</w:t>
            </w:r>
          </w:p>
        </w:tc>
      </w:tr>
      <w:tr>
        <w:trPr/>
        <w:tc>
          <w:tcPr>
            <w:tcW w:w="3200" w:type="dxa"/>
            <w:tcBorders/>
          </w:tcPr>
          <w:p>
            <w:pPr>
              <w:pStyle w:val="Normal"/>
              <w:snapToGrid w:val="false"/>
              <w:jc w:val="both"/>
              <w:rPr>
                <w:b/>
              </w:rPr>
            </w:pPr>
            <w:r>
              <w:rPr>
                <w:b/>
              </w:rPr>
            </w:r>
          </w:p>
          <w:p>
            <w:pPr>
              <w:pStyle w:val="Normal"/>
              <w:jc w:val="both"/>
              <w:rPr>
                <w:b/>
              </w:rPr>
            </w:pPr>
            <w:r>
              <w:rPr>
                <w:b/>
              </w:rPr>
              <w:t>DELIVERY POINT:</w:t>
            </w:r>
          </w:p>
        </w:tc>
        <w:tc>
          <w:tcPr>
            <w:tcW w:w="5656" w:type="dxa"/>
            <w:tcBorders/>
          </w:tcPr>
          <w:p>
            <w:pPr>
              <w:pStyle w:val="Normal"/>
              <w:snapToGrid w:val="false"/>
              <w:jc w:val="both"/>
              <w:rPr/>
            </w:pPr>
            <w:r>
              <w:rPr/>
            </w:r>
          </w:p>
          <w:p>
            <w:pPr>
              <w:pStyle w:val="Normal"/>
              <w:jc w:val="both"/>
              <w:rPr/>
            </w:pPr>
            <w:r>
              <w:rPr/>
              <w:t>Company (HPL) Meter # 1394 – Dodge Street.</w:t>
            </w:r>
          </w:p>
          <w:p>
            <w:pPr>
              <w:pStyle w:val="Normal"/>
              <w:jc w:val="both"/>
              <w:rPr/>
            </w:pPr>
            <w:r>
              <w:rPr/>
              <w:t xml:space="preserve">HPL Meter # 8018 – Celanese. </w:t>
            </w:r>
          </w:p>
          <w:p>
            <w:pPr>
              <w:pStyle w:val="Normal"/>
              <w:jc w:val="both"/>
              <w:rPr/>
            </w:pPr>
            <w:r>
              <w:rPr/>
              <w:t>HPL Meter # 1233 – Texas City.</w:t>
            </w:r>
          </w:p>
        </w:tc>
      </w:tr>
      <w:tr>
        <w:trPr/>
        <w:tc>
          <w:tcPr>
            <w:tcW w:w="3200" w:type="dxa"/>
            <w:tcBorders/>
          </w:tcPr>
          <w:p>
            <w:pPr>
              <w:pStyle w:val="Normal"/>
              <w:snapToGrid w:val="false"/>
              <w:jc w:val="both"/>
              <w:rPr/>
            </w:pPr>
            <w:r>
              <w:rPr/>
            </w:r>
          </w:p>
        </w:tc>
        <w:tc>
          <w:tcPr>
            <w:tcW w:w="5656" w:type="dxa"/>
            <w:tcBorders/>
          </w:tcPr>
          <w:p>
            <w:pPr>
              <w:pStyle w:val="Normal"/>
              <w:snapToGrid w:val="false"/>
              <w:jc w:val="both"/>
              <w:rPr/>
            </w:pPr>
            <w:r>
              <w:rPr/>
            </w:r>
          </w:p>
        </w:tc>
      </w:tr>
      <w:tr>
        <w:trPr/>
        <w:tc>
          <w:tcPr>
            <w:tcW w:w="3200" w:type="dxa"/>
            <w:tcBorders/>
          </w:tcPr>
          <w:p>
            <w:pPr>
              <w:pStyle w:val="Normal"/>
              <w:widowControl w:val="false"/>
              <w:jc w:val="both"/>
              <w:rPr>
                <w:b/>
              </w:rPr>
            </w:pPr>
            <w:r>
              <w:rPr>
                <w:b/>
              </w:rPr>
              <w:t>PERIOD OF DELIVERY:</w:t>
            </w:r>
          </w:p>
        </w:tc>
        <w:tc>
          <w:tcPr>
            <w:tcW w:w="5656" w:type="dxa"/>
            <w:tcBorders/>
          </w:tcPr>
          <w:p>
            <w:pPr>
              <w:pStyle w:val="Normal"/>
              <w:widowControl w:val="false"/>
              <w:jc w:val="both"/>
              <w:rPr/>
            </w:pPr>
            <w:r>
              <w:rPr/>
              <w:t>November 1, 2000 through April 30, 2001.</w:t>
            </w:r>
          </w:p>
        </w:tc>
      </w:tr>
      <w:tr>
        <w:trPr/>
        <w:tc>
          <w:tcPr>
            <w:tcW w:w="3200" w:type="dxa"/>
            <w:tcBorders/>
          </w:tcPr>
          <w:p>
            <w:pPr>
              <w:pStyle w:val="Normal"/>
              <w:widowControl w:val="false"/>
              <w:snapToGrid w:val="false"/>
              <w:jc w:val="both"/>
              <w:rPr/>
            </w:pPr>
            <w:r>
              <w:rPr/>
            </w:r>
          </w:p>
        </w:tc>
        <w:tc>
          <w:tcPr>
            <w:tcW w:w="5656" w:type="dxa"/>
            <w:tcBorders/>
          </w:tcPr>
          <w:p>
            <w:pPr>
              <w:pStyle w:val="Normal"/>
              <w:widowControl w:val="false"/>
              <w:snapToGrid w:val="false"/>
              <w:jc w:val="both"/>
              <w:rPr/>
            </w:pPr>
            <w:r>
              <w:rPr/>
            </w:r>
          </w:p>
        </w:tc>
      </w:tr>
      <w:tr>
        <w:trPr/>
        <w:tc>
          <w:tcPr>
            <w:tcW w:w="3200" w:type="dxa"/>
            <w:tcBorders/>
          </w:tcPr>
          <w:p>
            <w:pPr>
              <w:pStyle w:val="Normal"/>
              <w:widowControl w:val="false"/>
              <w:jc w:val="both"/>
              <w:rPr>
                <w:b/>
              </w:rPr>
            </w:pPr>
            <w:r>
              <w:rPr>
                <w:b/>
              </w:rPr>
              <w:t>CONTRACT PRICE (per MMBtu):</w:t>
            </w:r>
          </w:p>
        </w:tc>
        <w:tc>
          <w:tcPr>
            <w:tcW w:w="5656" w:type="dxa"/>
            <w:tcBorders/>
          </w:tcPr>
          <w:p>
            <w:pPr>
              <w:pStyle w:val="Normal"/>
              <w:widowControl w:val="false"/>
              <w:jc w:val="both"/>
              <w:rPr/>
            </w:pPr>
            <w:r>
              <w:rPr/>
              <w:t>1)  The Contract Price for each MMBtu of the MinDQ each month shall be (a) for volumes to be delivered at HPL Meter # 1394 – the Index Price less $0.01 per MMBtu.  The term "Index Price" means the Index Price published in Inside F.E.R.C.’s Gas Market Report for Houston Ship Channel index (large packages only), as listed in the table entitled "Delivered Spot-Gas Price" in the first-of-the-month issue of such publication for each Month during the Period of Delivery;</w:t>
            </w:r>
          </w:p>
          <w:p>
            <w:pPr>
              <w:pStyle w:val="Normal"/>
              <w:widowControl w:val="false"/>
              <w:jc w:val="both"/>
              <w:rPr/>
            </w:pPr>
            <w:r>
              <w:rPr/>
              <w:t>(b)  for volumes to be delivered at HPL Meter # 8018 – the Index Price per MMBtu; and</w:t>
            </w:r>
          </w:p>
          <w:p>
            <w:pPr>
              <w:pStyle w:val="Normal"/>
              <w:widowControl w:val="false"/>
              <w:jc w:val="both"/>
              <w:rPr/>
            </w:pPr>
            <w:r>
              <w:rPr/>
              <w:t>(c)  for volumes to be delivered at HPL Meter # 1233 – the Index Price per MMBtu.</w:t>
            </w:r>
          </w:p>
        </w:tc>
      </w:tr>
      <w:tr>
        <w:trPr/>
        <w:tc>
          <w:tcPr>
            <w:tcW w:w="3200" w:type="dxa"/>
            <w:tcBorders/>
          </w:tcPr>
          <w:p>
            <w:pPr>
              <w:pStyle w:val="Normal"/>
              <w:widowControl w:val="false"/>
              <w:snapToGrid w:val="false"/>
              <w:jc w:val="both"/>
              <w:rPr/>
            </w:pPr>
            <w:r>
              <w:rPr/>
            </w:r>
          </w:p>
        </w:tc>
        <w:tc>
          <w:tcPr>
            <w:tcW w:w="5656" w:type="dxa"/>
            <w:tcBorders/>
          </w:tcPr>
          <w:p>
            <w:pPr>
              <w:pStyle w:val="BodyText2"/>
              <w:widowControl w:val="false"/>
              <w:tabs>
                <w:tab w:val="clear" w:pos="690"/>
                <w:tab w:val="clear" w:pos="1440"/>
                <w:tab w:val="clear" w:pos="2160"/>
                <w:tab w:val="clear" w:pos="5280"/>
                <w:tab w:val="clear" w:pos="5472"/>
                <w:tab w:val="clear" w:pos="6480"/>
              </w:tabs>
              <w:snapToGrid w:val="false"/>
              <w:rPr/>
            </w:pPr>
            <w:r>
              <w:rPr/>
            </w:r>
          </w:p>
          <w:p>
            <w:pPr>
              <w:pStyle w:val="Normal"/>
              <w:widowControl w:val="false"/>
              <w:jc w:val="both"/>
              <w:rPr/>
            </w:pPr>
            <w:r>
              <w:rPr/>
              <w:t xml:space="preserve">2)  The Contract Price for each MMBtu of the quantities in excess of the MinDQ up to and including the MaxDQ shall be the common high price reported by </w:t>
            </w:r>
            <w:r>
              <w:rPr>
                <w:u w:val="single"/>
              </w:rPr>
              <w:t>Gas Daily</w:t>
            </w:r>
            <w:r>
              <w:rPr/>
              <w:t xml:space="preserve"> in the Daily Price Survey under the heading East-Houston-Katy for Houston Ship Channel two business days after flow date known as "relevant day".  The "relevant day" shall be defined as follows:  For all quantities of gas delivered for which </w:t>
            </w:r>
            <w:r>
              <w:rPr>
                <w:u w:val="single"/>
              </w:rPr>
              <w:t>Gas Daily</w:t>
            </w:r>
            <w:r>
              <w:rPr/>
              <w:t xml:space="preserve"> pricing is used, the price for gas flowing on Friday, Saturday and Sunday shall be the price posted in the Tuesday publication of </w:t>
            </w:r>
            <w:r>
              <w:rPr>
                <w:u w:val="single"/>
              </w:rPr>
              <w:t>Gas Daily</w:t>
            </w:r>
            <w:r>
              <w:rPr/>
              <w:t xml:space="preserve">.  For quantities flowing on Monday, the price for such quantities shall be the price published in the Wednesday publication of </w:t>
            </w:r>
            <w:r>
              <w:rPr>
                <w:u w:val="single"/>
              </w:rPr>
              <w:t>Gas Daily</w:t>
            </w:r>
            <w:r>
              <w:rPr/>
              <w:t xml:space="preserve">; for quantities flowing on Tuesday, the price for such quantities shall be the price published in the Thursday publication of </w:t>
            </w:r>
            <w:r>
              <w:rPr>
                <w:u w:val="single"/>
              </w:rPr>
              <w:t>Gas Daily</w:t>
            </w:r>
            <w:r>
              <w:rPr/>
              <w:t xml:space="preserve">; for quantities flowing on Wednesday, the price for such quantities shall be the price published in the Friday publication of </w:t>
            </w:r>
            <w:r>
              <w:rPr>
                <w:u w:val="single"/>
              </w:rPr>
              <w:t>Gas Daily</w:t>
            </w:r>
            <w:r>
              <w:rPr/>
              <w:t xml:space="preserve">; for quantities flowing on Thursday, the price for such quantities shall be the price published in the Monday publication of </w:t>
            </w:r>
            <w:r>
              <w:rPr>
                <w:u w:val="single"/>
              </w:rPr>
              <w:t>Gas Daily</w:t>
            </w:r>
            <w:r>
              <w:rPr/>
              <w:t>; or if a calendar day is not a Business Day then the price for such day will be the Common High price published on the next succeeding Business Day.</w:t>
            </w:r>
          </w:p>
          <w:p>
            <w:pPr>
              <w:pStyle w:val="Normal"/>
              <w:widowControl w:val="false"/>
              <w:jc w:val="both"/>
              <w:rPr/>
            </w:pPr>
            <w:r>
              <w:rPr/>
            </w:r>
          </w:p>
        </w:tc>
      </w:tr>
      <w:tr>
        <w:trPr/>
        <w:tc>
          <w:tcPr>
            <w:tcW w:w="3200" w:type="dxa"/>
            <w:tcBorders/>
          </w:tcPr>
          <w:p>
            <w:pPr>
              <w:pStyle w:val="Normal"/>
              <w:jc w:val="both"/>
              <w:rPr>
                <w:b/>
              </w:rPr>
            </w:pPr>
            <w:r>
              <w:rPr>
                <w:b/>
              </w:rPr>
              <w:t>SPOT PRICE LOCATION:</w:t>
            </w:r>
          </w:p>
        </w:tc>
        <w:tc>
          <w:tcPr>
            <w:tcW w:w="5656" w:type="dxa"/>
            <w:tcBorders/>
          </w:tcPr>
          <w:p>
            <w:pPr>
              <w:pStyle w:val="Normal"/>
              <w:jc w:val="both"/>
              <w:rPr/>
            </w:pPr>
            <w:r>
              <w:rPr/>
              <w:t>East-Houston-Katy / Houston Ship Channel</w:t>
            </w:r>
          </w:p>
        </w:tc>
      </w:tr>
    </w:tbl>
    <w:p>
      <w:pPr>
        <w:pStyle w:val="Normal"/>
        <w:tabs>
          <w:tab w:val="clear" w:pos="720"/>
          <w:tab w:val="left" w:pos="0" w:leader="none"/>
          <w:tab w:val="left" w:pos="4950" w:leader="none"/>
        </w:tabs>
        <w:jc w:val="both"/>
        <w:rPr>
          <w:b/>
        </w:rPr>
      </w:pPr>
      <w:r>
        <w:rPr>
          <w:b/>
        </w:rPr>
      </w:r>
    </w:p>
    <w:p>
      <w:pPr>
        <w:pStyle w:val="Normal"/>
        <w:tabs>
          <w:tab w:val="clear" w:pos="720"/>
          <w:tab w:val="left" w:pos="1440" w:leader="none"/>
          <w:tab w:val="left" w:pos="2160" w:leader="none"/>
          <w:tab w:val="left" w:pos="4950" w:leader="none"/>
        </w:tabs>
        <w:ind w:hanging="2160" w:start="2160" w:end="0"/>
        <w:jc w:val="both"/>
        <w:rPr/>
      </w:pPr>
      <w:r>
        <w:rPr>
          <w:b/>
        </w:rPr>
        <w:t xml:space="preserve">OTHER:  </w:t>
        <w:tab/>
      </w:r>
      <w:r>
        <w:rPr/>
        <w:t>(1)</w:t>
        <w:tab/>
        <w:t>Buyer and Seller agree that Buyer shall have the options to purchase and receive quantities of Gas per Day in addition to the MinDQ for each Day of each Month up to and including the MaxDQ during the Period of Delivery by providing Seller written notice thereof with respect to each Day of each Month not later than 10:00 a.m. on the day prior to the day gas is desired to flow, and upon Seller’s receipt of such notice from Buyer, such noticed quantities shall be scheduled for such day.</w:t>
      </w:r>
    </w:p>
    <w:p>
      <w:pPr>
        <w:pStyle w:val="Normal"/>
        <w:jc w:val="both"/>
        <w:rPr/>
      </w:pPr>
      <w:r>
        <w:rPr/>
      </w:r>
    </w:p>
    <w:p>
      <w:pPr>
        <w:pStyle w:val="Normal"/>
        <w:jc w:val="both"/>
        <w:rPr/>
      </w:pPr>
      <w:r>
        <w:rPr>
          <w:b/>
        </w:rPr>
        <w:tab/>
        <w:tab/>
        <w:tab/>
        <w:tab/>
        <w:tab/>
        <w:tab/>
      </w:r>
      <w:r>
        <w:rPr/>
        <w:t>II.</w:t>
      </w:r>
    </w:p>
    <w:p>
      <w:pPr>
        <w:pStyle w:val="Normal"/>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sz w:val="21"/>
        </w:rPr>
        <w:tab/>
      </w:r>
      <w:r>
        <w:rPr>
          <w:b/>
        </w:rPr>
        <w:t>Customer Deficit Quantity</w:t>
      </w:r>
      <w:r>
        <w:rPr/>
        <w:t xml:space="preserve"> -  Company to purchase and receive as Buyer on a fully interruptible basis from Customer and Customer to sell and deliver as Seller.   Notwithstanding any language to the contrary regarding the payment due Seller for Buyer’s Deficiency Quantity under the ENFOLIO® MASTER FIRM PURCHASE/SALE AGREEMENT in effect between Company and Customer (the "Enfolio Agreement"), this Agreement covers the payments to be made by Customer to Company for any deficit quantity up to the MaxDQ provided herein.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ind w:hanging="5040" w:start="5040" w:end="0"/>
        <w:jc w:val="both"/>
        <w:rPr>
          <w:b/>
        </w:rPr>
      </w:pPr>
      <w:r>
        <w:rPr>
          <w:b/>
        </w:rPr>
        <w:t>QUANTITIES:</w:t>
      </w:r>
    </w:p>
    <w:p>
      <w:pPr>
        <w:pStyle w:val="Normal"/>
        <w:ind w:hanging="2880" w:start="3600" w:end="0"/>
        <w:jc w:val="both"/>
        <w:rPr/>
      </w:pPr>
      <w:r>
        <w:rPr>
          <w:b/>
        </w:rPr>
        <w:t>MaxDQ:</w:t>
        <w:tab/>
      </w:r>
      <w:r>
        <w:rPr/>
        <w:t>The MinDQ applicable under Part I hereinabove for each of the respective Delivery Point(s); which quantity shall be referred to herein as the "Customer Deficit Quantity" for each Delivery Point.  "</w:t>
      </w:r>
      <w:r>
        <w:rPr>
          <w:b/>
        </w:rPr>
        <w:t>Customer Deficit Quantity</w:t>
      </w:r>
      <w:r>
        <w:rPr/>
        <w:t xml:space="preserve">" means, per Gas Day with respect to the respective Delivery Point(s), the positive numerical difference, if any, calculated by </w:t>
      </w:r>
      <w:r>
        <w:rPr>
          <w:u w:val="single"/>
        </w:rPr>
        <w:t>subtracting</w:t>
      </w:r>
      <w:r>
        <w:rPr/>
        <w:t xml:space="preserve"> the actual quantity of gas in MMBtu taken by Customer at the respective Delivery Point(s) </w:t>
      </w:r>
      <w:r>
        <w:rPr>
          <w:u w:val="single"/>
        </w:rPr>
        <w:t>from</w:t>
      </w:r>
      <w:r>
        <w:rPr/>
        <w:t xml:space="preserve"> the quantity of gas in MMBtu timely scheduled by Customer at such Delivery Point, all as scheduled, measured and allocated by Houston Pipe Line Company.</w:t>
      </w:r>
    </w:p>
    <w:p>
      <w:pPr>
        <w:pStyle w:val="Normal"/>
        <w:ind w:hanging="5040" w:start="5040" w:end="0"/>
        <w:jc w:val="both"/>
        <w:rPr/>
      </w:pPr>
      <w:r>
        <w:rPr/>
      </w:r>
    </w:p>
    <w:p>
      <w:pPr>
        <w:pStyle w:val="Normal"/>
        <w:ind w:hanging="3600" w:start="3600" w:end="0"/>
        <w:jc w:val="both"/>
        <w:rPr/>
      </w:pPr>
      <w:r>
        <w:rPr>
          <w:b/>
        </w:rPr>
        <w:t>DELIVERY POINT:</w:t>
      </w:r>
      <w:r>
        <w:rPr/>
        <w:tab/>
        <w:t>The delivery points applicable under Part I hereinabove.</w:t>
      </w:r>
    </w:p>
    <w:p>
      <w:pPr>
        <w:pStyle w:val="Normal"/>
        <w:ind w:hanging="5040" w:start="5040" w:end="0"/>
        <w:jc w:val="both"/>
        <w:rPr/>
      </w:pPr>
      <w:r>
        <w:rPr/>
      </w:r>
    </w:p>
    <w:p>
      <w:pPr>
        <w:pStyle w:val="Normal"/>
        <w:tabs>
          <w:tab w:val="clear" w:pos="720"/>
          <w:tab w:val="left" w:pos="690" w:leader="none"/>
          <w:tab w:val="left" w:pos="1440" w:leader="none"/>
          <w:tab w:val="left" w:pos="2160" w:leader="none"/>
          <w:tab w:val="left" w:pos="3600" w:leader="none"/>
          <w:tab w:val="left" w:pos="5472" w:leader="none"/>
          <w:tab w:val="left" w:pos="6480" w:leader="none"/>
        </w:tabs>
        <w:ind w:hanging="3600" w:start="3600" w:end="0"/>
        <w:jc w:val="both"/>
        <w:rPr/>
      </w:pPr>
      <w:r>
        <w:rPr>
          <w:b/>
        </w:rPr>
        <w:t>CONTRACT PRICE (per MMBtu):</w:t>
        <w:tab/>
      </w:r>
      <w:r>
        <w:rPr/>
        <w:t>The Contract Price for each MMBtu of the Customer Deficit Quantity each day for each Delivery Point shall be the "Katy Spot Price (Midpoint)". "</w:t>
      </w:r>
      <w:r>
        <w:rPr>
          <w:b/>
        </w:rPr>
        <w:t>Katy Spot Price (Midpoint)</w:t>
      </w:r>
      <w:r>
        <w:rPr/>
        <w:t xml:space="preserve">" means the Spot Price (Midpoint) set forth in </w:t>
      </w:r>
      <w:r>
        <w:rPr>
          <w:u w:val="single"/>
        </w:rPr>
        <w:t>Gas Daily</w:t>
      </w:r>
      <w:r>
        <w:rPr/>
        <w:t>® (Financial Times Energy), or successor publication, in the column "Daily Price Survey" under East-Houston-Katy as reported on the second day after the Gas Day on which the Customer Deficit Quantity occurred; provided, if there is no midpoint price published on such day, then the Spot Price (Midpoint) shall be deemed the midpoint price for the next day for which a Spot Price (Midpoint) can be determined in accordance herewith.  "</w:t>
      </w:r>
      <w:r>
        <w:rPr>
          <w:b/>
        </w:rPr>
        <w:t>Gas Day</w:t>
      </w:r>
      <w:r>
        <w:rPr/>
        <w:t>" means the Day the Gas flowed.</w:t>
      </w:r>
    </w:p>
    <w:p>
      <w:pPr>
        <w:pStyle w:val="Normal"/>
        <w:tabs>
          <w:tab w:val="clear" w:pos="720"/>
          <w:tab w:val="left" w:pos="0" w:leader="none"/>
        </w:tabs>
        <w:jc w:val="both"/>
        <w:rPr/>
      </w:pPr>
      <w:r>
        <w:rPr/>
      </w:r>
    </w:p>
    <w:tbl>
      <w:tblPr>
        <w:tblW w:w="10188" w:type="dxa"/>
        <w:jc w:val="start"/>
        <w:tblInd w:w="0" w:type="dxa"/>
        <w:tblLayout w:type="fixed"/>
        <w:tblCellMar>
          <w:top w:w="0" w:type="dxa"/>
          <w:start w:w="108" w:type="dxa"/>
          <w:bottom w:w="0" w:type="dxa"/>
          <w:end w:w="108" w:type="dxa"/>
        </w:tblCellMar>
      </w:tblPr>
      <w:tblGrid>
        <w:gridCol w:w="3708"/>
        <w:gridCol w:w="6480"/>
      </w:tblGrid>
      <w:tr>
        <w:trPr/>
        <w:tc>
          <w:tcPr>
            <w:tcW w:w="3708" w:type="dxa"/>
            <w:tcBorders/>
          </w:tcPr>
          <w:p>
            <w:pPr>
              <w:pStyle w:val="Normal"/>
              <w:jc w:val="both"/>
              <w:rPr>
                <w:b/>
              </w:rPr>
            </w:pPr>
            <w:r>
              <w:rPr>
                <w:b/>
              </w:rPr>
              <w:t>PERIOD OF DELIVERY:</w:t>
            </w:r>
          </w:p>
        </w:tc>
        <w:tc>
          <w:tcPr>
            <w:tcW w:w="6480" w:type="dxa"/>
            <w:tcBorders/>
          </w:tcPr>
          <w:p>
            <w:pPr>
              <w:pStyle w:val="Normal"/>
              <w:ind w:start="-108" w:end="0"/>
              <w:jc w:val="both"/>
              <w:rPr/>
            </w:pPr>
            <w:r>
              <w:rPr/>
              <w:t>November 1, 2000 through April 30, 2001.</w:t>
            </w:r>
          </w:p>
        </w:tc>
      </w:tr>
      <w:tr>
        <w:trPr/>
        <w:tc>
          <w:tcPr>
            <w:tcW w:w="3708" w:type="dxa"/>
            <w:tcBorders/>
          </w:tcPr>
          <w:p>
            <w:pPr>
              <w:pStyle w:val="Normal"/>
              <w:snapToGrid w:val="false"/>
              <w:jc w:val="both"/>
              <w:rPr/>
            </w:pPr>
            <w:r>
              <w:rPr/>
            </w:r>
          </w:p>
        </w:tc>
        <w:tc>
          <w:tcPr>
            <w:tcW w:w="6480" w:type="dxa"/>
            <w:tcBorders/>
          </w:tcPr>
          <w:p>
            <w:pPr>
              <w:pStyle w:val="Normal"/>
              <w:snapToGrid w:val="false"/>
              <w:jc w:val="both"/>
              <w:rPr/>
            </w:pPr>
            <w:r>
              <w:rPr/>
            </w:r>
          </w:p>
        </w:tc>
      </w:tr>
      <w:tr>
        <w:trPr/>
        <w:tc>
          <w:tcPr>
            <w:tcW w:w="3708" w:type="dxa"/>
            <w:tcBorders/>
          </w:tcPr>
          <w:p>
            <w:pPr>
              <w:pStyle w:val="Normal"/>
              <w:jc w:val="both"/>
              <w:rPr>
                <w:b/>
              </w:rPr>
            </w:pPr>
            <w:r>
              <w:rPr>
                <w:b/>
              </w:rPr>
              <w:t>SPOT PRICE LOCATION:</w:t>
            </w:r>
          </w:p>
        </w:tc>
        <w:tc>
          <w:tcPr>
            <w:tcW w:w="6480" w:type="dxa"/>
            <w:tcBorders/>
          </w:tcPr>
          <w:p>
            <w:pPr>
              <w:pStyle w:val="Normal"/>
              <w:ind w:start="-108" w:end="0"/>
              <w:jc w:val="both"/>
              <w:rPr/>
            </w:pPr>
            <w:r>
              <w:rPr/>
              <w:t>East-Houston-Katy / Houston Ship Channel</w:t>
            </w:r>
          </w:p>
          <w:p>
            <w:pPr>
              <w:pStyle w:val="Normal"/>
              <w:jc w:val="both"/>
              <w:rPr/>
            </w:pPr>
            <w:r>
              <w:rPr/>
            </w:r>
          </w:p>
        </w:tc>
      </w:tr>
    </w:tbl>
    <w:p>
      <w:pPr>
        <w:pStyle w:val="BodyText2"/>
        <w:rPr/>
      </w:pPr>
      <w:r>
        <w:rPr/>
        <w:tab/>
        <w:t>This Confirmation is being provided pursuant to and in accordance with the Enfolio® Agreement in effect between Company and Customer and constitutes part of and is subject to all of the provisions of the Enfolio®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5688" w:type="dxa"/>
        <w:jc w:val="start"/>
        <w:tblInd w:w="3708" w:type="dxa"/>
        <w:tblLayout w:type="fixed"/>
        <w:tblCellMar>
          <w:top w:w="0" w:type="dxa"/>
          <w:start w:w="108" w:type="dxa"/>
          <w:bottom w:w="0" w:type="dxa"/>
          <w:end w:w="108" w:type="dxa"/>
        </w:tblCellMar>
      </w:tblPr>
      <w:tblGrid>
        <w:gridCol w:w="5688"/>
      </w:tblGrid>
      <w:tr>
        <w:trPr/>
        <w:tc>
          <w:tcPr>
            <w:tcW w:w="5688" w:type="dxa"/>
            <w:tcBorders/>
          </w:tcPr>
          <w:p>
            <w:pPr>
              <w:pStyle w:val="Normal"/>
              <w:tabs>
                <w:tab w:val="clear" w:pos="720"/>
                <w:tab w:val="left" w:pos="4770" w:leader="none"/>
                <w:tab w:val="left" w:pos="4968" w:leader="none"/>
                <w:tab w:val="left" w:pos="9468" w:leader="none"/>
              </w:tabs>
              <w:jc w:val="both"/>
              <w:rPr/>
            </w:pPr>
            <w:r>
              <w:rPr/>
              <w:t>HOUSTON PIPE LINE COMPANY</w:t>
            </w:r>
          </w:p>
        </w:tc>
      </w:tr>
      <w:tr>
        <w:trPr/>
        <w:tc>
          <w:tcPr>
            <w:tcW w:w="5688" w:type="dxa"/>
            <w:tcBorders/>
          </w:tcPr>
          <w:p>
            <w:pPr>
              <w:pStyle w:val="Normal"/>
              <w:tabs>
                <w:tab w:val="clear" w:pos="720"/>
                <w:tab w:val="left" w:pos="4770" w:leader="none"/>
                <w:tab w:val="left" w:pos="4968" w:leader="none"/>
                <w:tab w:val="left" w:pos="9468" w:leader="none"/>
              </w:tabs>
              <w:snapToGrid w:val="false"/>
              <w:jc w:val="both"/>
              <w:rPr/>
            </w:pPr>
            <w:r>
              <w:rPr/>
            </w:r>
          </w:p>
          <w:p>
            <w:pPr>
              <w:pStyle w:val="Normal"/>
              <w:tabs>
                <w:tab w:val="clear" w:pos="720"/>
                <w:tab w:val="left" w:pos="4770" w:leader="none"/>
                <w:tab w:val="left" w:pos="4968" w:leader="none"/>
                <w:tab w:val="left" w:pos="9468" w:leader="none"/>
              </w:tabs>
              <w:jc w:val="both"/>
              <w:rPr/>
            </w:pPr>
            <w:r>
              <w:rPr/>
            </w:r>
          </w:p>
          <w:p>
            <w:pPr>
              <w:pStyle w:val="Normal"/>
              <w:tabs>
                <w:tab w:val="clear" w:pos="720"/>
                <w:tab w:val="left" w:pos="4770" w:leader="none"/>
                <w:tab w:val="left" w:pos="4968" w:leader="none"/>
                <w:tab w:val="left" w:pos="9468" w:leader="none"/>
              </w:tabs>
              <w:jc w:val="both"/>
              <w:rPr/>
            </w:pPr>
            <w:r>
              <w:rPr/>
              <w:t xml:space="preserve">By: </w:t>
            </w:r>
            <w:r>
              <w:rPr>
                <w:u w:val="single"/>
              </w:rPr>
              <w:tab/>
            </w:r>
          </w:p>
        </w:tc>
      </w:tr>
      <w:tr>
        <w:trPr/>
        <w:tc>
          <w:tcPr>
            <w:tcW w:w="5688" w:type="dxa"/>
            <w:tcBorders/>
          </w:tcPr>
          <w:p>
            <w:pPr>
              <w:pStyle w:val="Normal"/>
              <w:tabs>
                <w:tab w:val="clear" w:pos="720"/>
                <w:tab w:val="left" w:pos="4770" w:leader="none"/>
                <w:tab w:val="left" w:pos="4968" w:leader="none"/>
                <w:tab w:val="left" w:pos="9468" w:leader="none"/>
              </w:tabs>
              <w:jc w:val="both"/>
              <w:rPr/>
            </w:pPr>
            <w:r>
              <w:rPr/>
              <w:t xml:space="preserve">Title </w:t>
            </w:r>
            <w:r>
              <w:rPr>
                <w:u w:val="single"/>
              </w:rPr>
              <w:tab/>
            </w:r>
          </w:p>
        </w:tc>
      </w:tr>
      <w:tr>
        <w:trPr/>
        <w:tc>
          <w:tcPr>
            <w:tcW w:w="5688" w:type="dxa"/>
            <w:tcBorders/>
          </w:tcPr>
          <w:p>
            <w:pPr>
              <w:pStyle w:val="Normal"/>
              <w:tabs>
                <w:tab w:val="clear" w:pos="720"/>
                <w:tab w:val="left" w:pos="4770" w:leader="none"/>
              </w:tabs>
              <w:jc w:val="center"/>
              <w:rPr/>
            </w:pPr>
            <w:r>
              <w:rPr/>
              <w:t>"Company"</w:t>
            </w:r>
          </w:p>
        </w:tc>
      </w:tr>
      <w:tr>
        <w:trPr/>
        <w:tc>
          <w:tcPr>
            <w:tcW w:w="5688" w:type="dxa"/>
            <w:tcBorders/>
          </w:tcPr>
          <w:p>
            <w:pPr>
              <w:pStyle w:val="Normal"/>
              <w:tabs>
                <w:tab w:val="clear" w:pos="720"/>
                <w:tab w:val="left" w:pos="4770" w:leader="none"/>
              </w:tabs>
              <w:snapToGrid w:val="false"/>
              <w:jc w:val="both"/>
              <w:rPr/>
            </w:pPr>
            <w:r>
              <w:rPr/>
            </w:r>
          </w:p>
        </w:tc>
      </w:tr>
      <w:tr>
        <w:trPr/>
        <w:tc>
          <w:tcPr>
            <w:tcW w:w="5688" w:type="dxa"/>
            <w:tcBorders/>
          </w:tcPr>
          <w:p>
            <w:pPr>
              <w:pStyle w:val="Normal"/>
              <w:tabs>
                <w:tab w:val="clear" w:pos="720"/>
                <w:tab w:val="left" w:pos="4770" w:leader="none"/>
              </w:tabs>
              <w:jc w:val="both"/>
              <w:rPr/>
            </w:pPr>
            <w:r>
              <w:rPr/>
              <w:t>VALERO MARKETING &amp; SUPPLY COMPANY</w:t>
            </w:r>
          </w:p>
        </w:tc>
      </w:tr>
      <w:tr>
        <w:trPr/>
        <w:tc>
          <w:tcPr>
            <w:tcW w:w="5688" w:type="dxa"/>
            <w:tcBorders/>
          </w:tcPr>
          <w:p>
            <w:pPr>
              <w:pStyle w:val="Normal"/>
              <w:tabs>
                <w:tab w:val="clear" w:pos="720"/>
                <w:tab w:val="left" w:pos="4770" w:leader="none"/>
                <w:tab w:val="left" w:pos="4968" w:leader="none"/>
                <w:tab w:val="left" w:pos="9468" w:leader="none"/>
              </w:tabs>
              <w:snapToGrid w:val="false"/>
              <w:jc w:val="both"/>
              <w:rPr/>
            </w:pPr>
            <w:r>
              <w:rPr/>
            </w:r>
          </w:p>
          <w:p>
            <w:pPr>
              <w:pStyle w:val="Normal"/>
              <w:tabs>
                <w:tab w:val="clear" w:pos="720"/>
                <w:tab w:val="left" w:pos="4770" w:leader="none"/>
                <w:tab w:val="left" w:pos="4968" w:leader="none"/>
                <w:tab w:val="left" w:pos="9468" w:leader="none"/>
              </w:tabs>
              <w:jc w:val="both"/>
              <w:rPr/>
            </w:pPr>
            <w:r>
              <w:rPr/>
            </w:r>
          </w:p>
          <w:p>
            <w:pPr>
              <w:pStyle w:val="Normal"/>
              <w:tabs>
                <w:tab w:val="clear" w:pos="720"/>
                <w:tab w:val="left" w:pos="4770" w:leader="none"/>
                <w:tab w:val="left" w:pos="4968" w:leader="none"/>
                <w:tab w:val="left" w:pos="9468" w:leader="none"/>
              </w:tabs>
              <w:jc w:val="both"/>
              <w:rPr/>
            </w:pPr>
            <w:r>
              <w:rPr/>
              <w:t xml:space="preserve">By: </w:t>
            </w:r>
            <w:r>
              <w:rPr>
                <w:u w:val="single"/>
              </w:rPr>
              <w:tab/>
            </w:r>
          </w:p>
        </w:tc>
      </w:tr>
      <w:tr>
        <w:trPr/>
        <w:tc>
          <w:tcPr>
            <w:tcW w:w="5688" w:type="dxa"/>
            <w:tcBorders/>
          </w:tcPr>
          <w:p>
            <w:pPr>
              <w:pStyle w:val="Normal"/>
              <w:tabs>
                <w:tab w:val="clear" w:pos="720"/>
                <w:tab w:val="left" w:pos="4770" w:leader="none"/>
                <w:tab w:val="left" w:pos="4968" w:leader="none"/>
                <w:tab w:val="left" w:pos="9468" w:leader="none"/>
              </w:tabs>
              <w:jc w:val="both"/>
              <w:rPr/>
            </w:pPr>
            <w:r>
              <w:rPr/>
              <w:t xml:space="preserve">Title </w:t>
            </w:r>
            <w:r>
              <w:rPr>
                <w:u w:val="single"/>
              </w:rPr>
              <w:tab/>
            </w:r>
          </w:p>
        </w:tc>
      </w:tr>
      <w:tr>
        <w:trPr/>
        <w:tc>
          <w:tcPr>
            <w:tcW w:w="5688" w:type="dxa"/>
            <w:tcBorders/>
          </w:tcPr>
          <w:p>
            <w:pPr>
              <w:pStyle w:val="Normal"/>
              <w:tabs>
                <w:tab w:val="clear" w:pos="720"/>
                <w:tab w:val="left" w:pos="4770" w:leader="none"/>
                <w:tab w:val="left" w:pos="4968" w:leader="none"/>
                <w:tab w:val="left" w:pos="9468" w:leader="none"/>
              </w:tabs>
              <w:jc w:val="center"/>
              <w:rPr/>
            </w:pPr>
            <w:r>
              <w:rPr/>
              <w:t>"Customer"</w:t>
            </w:r>
          </w:p>
        </w:tc>
      </w:tr>
    </w:tbl>
    <w:p>
      <w:pPr>
        <w:pStyle w:val="Header"/>
        <w:tabs>
          <w:tab w:val="clear" w:pos="4320"/>
          <w:tab w:val="clear" w:pos="8640"/>
        </w:tabs>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/mnt/main-storage/datasets/enron-docs/doc/2000_03crfm.doc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/mnt/main-storage/datasets/enron-docs/doc/2000_03crfm.doc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Valero Marketing &amp; Supply Company</w:t>
    </w:r>
  </w:p>
  <w:p>
    <w:pPr>
      <w:pStyle w:val="Header"/>
      <w:rPr/>
    </w:pPr>
    <w:r>
      <w:rPr/>
      <w:t>November 13,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690" w:leader="none"/>
        <w:tab w:val="left" w:pos="1440" w:leader="none"/>
        <w:tab w:val="left" w:pos="2160" w:leader="none"/>
        <w:tab w:val="left" w:pos="5280" w:leader="none"/>
        <w:tab w:val="left" w:pos="5472" w:leader="none"/>
        <w:tab w:val="left" w:pos="6480" w:leader="none"/>
      </w:tabs>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2000-11-13T15:01:00Z</dcterms:created>
  <dc:creator>Daniel J. Hyvl</dc:creator>
  <dc:description/>
  <dc:language>en-CA</dc:language>
  <cp:lastModifiedBy>dhyvl</cp:lastModifiedBy>
  <cp:lastPrinted>2000-11-13T11:44:00Z</cp:lastPrinted>
  <dcterms:modified xsi:type="dcterms:W3CDTF">2000-11-13T15:14:00Z</dcterms:modified>
  <cp:revision>3</cp:revision>
  <dc:subject/>
  <dc:title>January 7, 2000</dc:title>
</cp:coreProperties>
</file>